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left="1418" w:right="777" w:firstLine="709"/>
        <w:jc w:val="both"/>
        <w:rPr/>
      </w:pPr>
      <w:r>
        <w:rPr/>
      </w:r>
    </w:p>
    <w:tbl>
      <w:tblPr>
        <w:tblW w:w="98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445"/>
        <w:gridCol w:w="8409"/>
      </w:tblGrid>
      <w:tr>
        <w:trPr>
          <w:trHeight w:val="1519" w:hRule="atLeast"/>
        </w:trPr>
        <w:tc>
          <w:tcPr>
            <w:tcW w:w="1445" w:type="dxa"/>
            <w:tcBorders/>
          </w:tcPr>
          <w:p>
            <w:pPr>
              <w:pStyle w:val="Normal"/>
              <w:widowControl w:val="false"/>
              <w:spacing w:lineRule="auto" w:line="360"/>
              <w:jc w:val="both"/>
              <w:rPr>
                <w:rFonts w:ascii="Calibri" w:hAnsi="Calibri"/>
              </w:rPr>
            </w:pPr>
            <w:r>
              <w:rPr/>
              <w:drawing>
                <wp:inline distT="0" distB="0" distL="0" distR="0">
                  <wp:extent cx="885825" cy="790575"/>
                  <wp:effectExtent l="0" t="0" r="0" b="0"/>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пфр-пнг"/>
                          <pic:cNvPicPr>
                            <a:picLocks noChangeAspect="1" noChangeArrowheads="1"/>
                          </pic:cNvPicPr>
                        </pic:nvPicPr>
                        <pic:blipFill>
                          <a:blip r:embed="rId2"/>
                          <a:stretch>
                            <a:fillRect/>
                          </a:stretch>
                        </pic:blipFill>
                        <pic:spPr bwMode="auto">
                          <a:xfrm>
                            <a:off x="0" y="0"/>
                            <a:ext cx="885825" cy="790575"/>
                          </a:xfrm>
                          <a:prstGeom prst="rect">
                            <a:avLst/>
                          </a:prstGeom>
                        </pic:spPr>
                      </pic:pic>
                    </a:graphicData>
                  </a:graphic>
                </wp:inline>
              </w:drawing>
            </w:r>
          </w:p>
        </w:tc>
        <w:tc>
          <w:tcPr>
            <w:tcW w:w="8409" w:type="dxa"/>
            <w:tcBorders/>
          </w:tcPr>
          <w:p>
            <w:pPr>
              <w:pStyle w:val="Normal"/>
              <w:widowControl w:val="false"/>
              <w:ind w:right="-5" w:hanging="0"/>
              <w:jc w:val="center"/>
              <w:rPr>
                <w:b/>
                <w:b/>
                <w:i/>
                <w:i/>
              </w:rPr>
            </w:pPr>
            <w:r>
              <w:rPr>
                <w:b/>
                <w:i/>
              </w:rPr>
              <w:t xml:space="preserve">          </w:t>
            </w:r>
            <w:r>
              <w:rPr>
                <w:b/>
                <w:i/>
              </w:rPr>
              <w:t>ПЕНСИОННЫЙ ФОНД РОССИЙСКОЙ  ФЕДЕРАЦИИ</w:t>
            </w:r>
          </w:p>
          <w:p>
            <w:pPr>
              <w:pStyle w:val="Normal"/>
              <w:widowControl w:val="false"/>
              <w:ind w:right="-5" w:hanging="0"/>
              <w:jc w:val="both"/>
              <w:rPr/>
            </w:pPr>
            <w:r>
              <w:rPr/>
            </w:r>
          </w:p>
          <w:tbl>
            <w:tblPr>
              <w:tblW w:w="926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262"/>
            </w:tblGrid>
            <w:tr>
              <w:trPr>
                <w:trHeight w:val="468" w:hRule="atLeast"/>
              </w:trPr>
              <w:tc>
                <w:tcPr>
                  <w:tcW w:w="9262" w:type="dxa"/>
                  <w:tcBorders/>
                </w:tcPr>
                <w:p>
                  <w:pPr>
                    <w:pStyle w:val="Normal"/>
                    <w:widowControl w:val="false"/>
                    <w:ind w:right="-5" w:hanging="0"/>
                    <w:jc w:val="center"/>
                    <w:rPr>
                      <w:b/>
                      <w:b/>
                      <w:i/>
                      <w:i/>
                    </w:rPr>
                  </w:pPr>
                  <w:r>
                    <w:rPr>
                      <w:b/>
                      <w:i/>
                    </w:rPr>
                    <w:t xml:space="preserve">       </w:t>
                  </w:r>
                  <w:r>
                    <w:rPr>
                      <w:b/>
                      <w:i/>
                    </w:rPr>
                    <w:t>ГОСУДАРСТВЕННОЕ УЧРЕЖДЕНИЕ –</w:t>
                  </w:r>
                </w:p>
                <w:p>
                  <w:pPr>
                    <w:pStyle w:val="Normal"/>
                    <w:widowControl w:val="false"/>
                    <w:ind w:right="-5" w:hanging="0"/>
                    <w:jc w:val="center"/>
                    <w:rPr>
                      <w:b/>
                      <w:b/>
                      <w:i/>
                      <w:i/>
                    </w:rPr>
                  </w:pPr>
                  <w:r>
                    <w:rPr>
                      <w:b/>
                      <w:i/>
                    </w:rPr>
                    <w:t>ОТДЕЛЕНИЕ ПЕНСИОННОГО ФОНДА</w:t>
                  </w:r>
                </w:p>
                <w:p>
                  <w:pPr>
                    <w:pStyle w:val="Normal"/>
                    <w:widowControl w:val="false"/>
                    <w:ind w:right="-5" w:hanging="0"/>
                    <w:jc w:val="center"/>
                    <w:rPr>
                      <w:b/>
                      <w:b/>
                      <w:i/>
                      <w:i/>
                    </w:rPr>
                  </w:pPr>
                  <w:r>
                    <w:rPr>
                      <w:b/>
                      <w:i/>
                    </w:rPr>
                    <w:t>РОССИЙСКОЙ ФЕДЕРАЦИИ ПО ПРИМОРСКОМУ КРАЮ</w:t>
                  </w:r>
                </w:p>
                <w:p>
                  <w:pPr>
                    <w:pStyle w:val="Normal"/>
                    <w:widowControl w:val="false"/>
                    <w:ind w:right="-5" w:hanging="0"/>
                    <w:jc w:val="center"/>
                    <w:rPr/>
                  </w:pPr>
                  <w:r>
                    <w:rPr/>
                    <w:t>________________________________________________________________</w:t>
                  </w:r>
                </w:p>
              </w:tc>
            </w:tr>
          </w:tbl>
          <w:p>
            <w:pPr>
              <w:pStyle w:val="Normal"/>
              <w:widowControl w:val="false"/>
              <w:numPr>
                <w:ilvl w:val="0"/>
                <w:numId w:val="0"/>
              </w:numPr>
              <w:spacing w:beforeAutospacing="1" w:after="0"/>
              <w:outlineLvl w:val="2"/>
              <w:rPr>
                <w:rFonts w:ascii="Calibri" w:hAnsi="Calibri"/>
                <w:sz w:val="22"/>
                <w:szCs w:val="22"/>
              </w:rPr>
            </w:pPr>
            <w:r>
              <w:rPr>
                <w:rFonts w:ascii="Calibri" w:hAnsi="Calibri"/>
                <w:sz w:val="22"/>
                <w:szCs w:val="22"/>
              </w:rPr>
            </w:r>
          </w:p>
        </w:tc>
      </w:tr>
    </w:tbl>
    <w:p>
      <w:pPr>
        <w:pStyle w:val="1"/>
        <w:spacing w:before="280" w:after="280"/>
        <w:rPr>
          <w:sz w:val="26"/>
          <w:szCs w:val="26"/>
        </w:rPr>
      </w:pPr>
      <w:r>
        <w:rPr>
          <w:sz w:val="26"/>
          <w:szCs w:val="26"/>
        </w:rPr>
        <w:t xml:space="preserve">Каждый 10-й приморец использует кодовое слово для персональных консультаций по телефону </w:t>
      </w:r>
    </w:p>
    <w:p>
      <w:pPr>
        <w:pStyle w:val="Normal"/>
        <w:spacing w:lineRule="auto" w:line="360"/>
        <w:jc w:val="both"/>
        <w:rPr>
          <w:rFonts w:ascii="Calibri" w:hAnsi="Calibri" w:asciiTheme="minorHAnsi" w:hAnsiTheme="minorHAnsi"/>
          <w:b/>
          <w:b/>
        </w:rPr>
      </w:pPr>
      <w:r>
        <w:rPr>
          <w:rFonts w:ascii="Calibri" w:hAnsi="Calibri" w:asciiTheme="minorHAnsi" w:hAnsiTheme="minorHAnsi"/>
          <w:b/>
        </w:rPr>
        <w:t>03.11.2022</w:t>
      </w:r>
      <w:r>
        <w:rPr>
          <w:rFonts w:ascii="Calibri" w:hAnsi="Calibri" w:asciiTheme="minorHAnsi" w:hAnsiTheme="minorHAnsi"/>
          <w:b/>
          <w:lang w:val="en-US"/>
        </w:rPr>
        <w:t>,</w:t>
      </w:r>
      <w:r>
        <w:rPr>
          <w:rFonts w:ascii="Calibri" w:hAnsi="Calibri" w:asciiTheme="minorHAnsi" w:hAnsiTheme="minorHAnsi"/>
          <w:b/>
        </w:rPr>
        <w:t xml:space="preserve"> г. Владивосток </w:t>
      </w:r>
    </w:p>
    <w:p>
      <w:pPr>
        <w:pStyle w:val="Normal"/>
        <w:jc w:val="both"/>
        <w:rPr/>
      </w:pPr>
      <w:r>
        <w:rPr/>
        <w:t>С начала года 1,4 млн граждан установили кодовое слово, чтобы получать консультации по выплатам через Единый контакт-центр и телефоны региональных отделений Пенсионного фонда России.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pPr>
        <w:pStyle w:val="Normal"/>
        <w:jc w:val="both"/>
        <w:rPr/>
      </w:pPr>
      <w:r>
        <w:rPr/>
      </w:r>
    </w:p>
    <w:p>
      <w:pPr>
        <w:pStyle w:val="Normal"/>
        <w:jc w:val="both"/>
        <w:rPr/>
      </w:pPr>
      <w:r>
        <w:rPr/>
        <w:t xml:space="preserve">В Приморском крае в 2022 году в </w:t>
      </w:r>
      <w:bookmarkStart w:id="0" w:name="_GoBack"/>
      <w:bookmarkEnd w:id="0"/>
      <w:r>
        <w:rPr/>
        <w:t xml:space="preserve">Единый контакт-центр за консультацией обратилось - 83 882 чел. Из них с  использованием «кодового слова»  -  8 380 чел. </w:t>
      </w:r>
    </w:p>
    <w:p>
      <w:pPr>
        <w:pStyle w:val="Normal"/>
        <w:jc w:val="both"/>
        <w:rPr/>
      </w:pPr>
      <w:r>
        <w:rPr/>
      </w:r>
    </w:p>
    <w:p>
      <w:pPr>
        <w:pStyle w:val="Normal"/>
        <w:jc w:val="both"/>
        <w:rPr/>
      </w:pPr>
      <w:r>
        <w:rP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Код можно также задать в любом территориальном отделении ПФР.</w:t>
      </w:r>
    </w:p>
    <w:p>
      <w:pPr>
        <w:pStyle w:val="Normal"/>
        <w:jc w:val="both"/>
        <w:rPr/>
      </w:pPr>
      <w:r>
        <w:rPr/>
      </w:r>
    </w:p>
    <w:p>
      <w:pPr>
        <w:pStyle w:val="Normal"/>
        <w:jc w:val="both"/>
        <w:rPr/>
      </w:pPr>
      <w:r>
        <w:rPr/>
        <w:t>Напомним, что Единый контакт-центр позволяет россиянам уточнить информацию о мерах социальной поддержки.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pPr>
        <w:pStyle w:val="Normal"/>
        <w:jc w:val="both"/>
        <w:rPr/>
      </w:pPr>
      <w:r>
        <w:rPr/>
      </w:r>
    </w:p>
    <w:p>
      <w:pPr>
        <w:pStyle w:val="Normal"/>
        <w:rPr/>
      </w:pPr>
      <w:r>
        <w:rPr/>
        <w:t>Получайте информацию по самым актуальным вопросам социальной поддержки населения и об услугах и сервисах, оказываемых Пенсионным фондом России, в официальном телеграм-канале (t.me/pensionfond).</w:t>
      </w:r>
    </w:p>
    <w:p>
      <w:pPr>
        <w:pStyle w:val="Normal"/>
        <w:jc w:val="both"/>
        <w:rPr/>
      </w:pPr>
      <w:r>
        <w:rPr/>
      </w:r>
    </w:p>
    <w:p>
      <w:pPr>
        <w:pStyle w:val="Normal"/>
        <w:spacing w:lineRule="auto" w:line="360"/>
        <w:ind w:firstLine="708"/>
        <w:jc w:val="right"/>
        <w:rPr>
          <w:rFonts w:ascii="Calibri" w:hAnsi="Calibri" w:asciiTheme="minorHAnsi" w:hAnsiTheme="minorHAnsi"/>
          <w:sz w:val="26"/>
          <w:szCs w:val="26"/>
        </w:rPr>
      </w:pPr>
      <w:r>
        <w:rPr>
          <w:rFonts w:asciiTheme="minorHAnsi" w:hAnsiTheme="minorHAnsi" w:ascii="Calibri" w:hAnsi="Calibri"/>
          <w:sz w:val="26"/>
          <w:szCs w:val="26"/>
        </w:rPr>
      </w:r>
    </w:p>
    <w:p>
      <w:pPr>
        <w:pStyle w:val="Normal"/>
        <w:spacing w:lineRule="auto" w:line="360"/>
        <w:ind w:firstLine="708"/>
        <w:jc w:val="right"/>
        <w:rPr>
          <w:rFonts w:ascii="Calibri" w:hAnsi="Calibri" w:asciiTheme="minorHAnsi" w:hAnsiTheme="minorHAnsi"/>
          <w:sz w:val="26"/>
          <w:szCs w:val="26"/>
        </w:rPr>
      </w:pPr>
      <w:r>
        <w:rPr>
          <w:rFonts w:asciiTheme="minorHAnsi" w:hAnsiTheme="minorHAnsi" w:ascii="Calibri" w:hAnsi="Calibri"/>
          <w:sz w:val="26"/>
          <w:szCs w:val="26"/>
        </w:rPr>
      </w:r>
    </w:p>
    <w:p>
      <w:pPr>
        <w:pStyle w:val="Normal"/>
        <w:ind w:firstLine="708"/>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Лидия Смыченко,</w:t>
      </w:r>
    </w:p>
    <w:p>
      <w:pPr>
        <w:pStyle w:val="Normal"/>
        <w:ind w:firstLine="708"/>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руководитель пресс-службы Отделения ПФР</w:t>
      </w:r>
    </w:p>
    <w:p>
      <w:pPr>
        <w:pStyle w:val="Normal"/>
        <w:ind w:firstLine="708"/>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по Приморскому краю</w:t>
      </w:r>
    </w:p>
    <w:p>
      <w:pPr>
        <w:pStyle w:val="Normal"/>
        <w:ind w:firstLine="708"/>
        <w:jc w:val="right"/>
        <w:rPr>
          <w:rFonts w:ascii="Calibri" w:hAnsi="Calibri" w:asciiTheme="minorHAnsi" w:hAnsiTheme="minorHAnsi"/>
          <w:sz w:val="26"/>
          <w:szCs w:val="26"/>
        </w:rPr>
      </w:pPr>
      <w:r>
        <w:rPr>
          <w:rFonts w:ascii="Calibri" w:hAnsi="Calibri" w:asciiTheme="minorHAnsi" w:hAnsiTheme="minorHAnsi"/>
        </w:rPr>
        <w:t xml:space="preserve">e-mail: </w:t>
      </w:r>
      <w:hyperlink r:id="rId3">
        <w:r>
          <w:rPr>
            <w:rFonts w:ascii="Calibri" w:hAnsi="Calibri" w:asciiTheme="minorHAnsi" w:hAnsiTheme="minorHAnsi"/>
          </w:rPr>
          <w:t>2901@035.pfr.gov.ru</w:t>
        </w:r>
      </w:hyperlink>
    </w:p>
    <w:p>
      <w:pPr>
        <w:pStyle w:val="Normal"/>
        <w:spacing w:lineRule="auto" w:line="360"/>
        <w:ind w:firstLine="708"/>
        <w:jc w:val="right"/>
        <w:rPr>
          <w:rFonts w:ascii="Calibri" w:hAnsi="Calibri" w:asciiTheme="minorHAnsi" w:hAnsiTheme="minorHAnsi"/>
          <w:sz w:val="26"/>
          <w:szCs w:val="26"/>
        </w:rPr>
      </w:pPr>
      <w:r>
        <w:rPr>
          <w:rFonts w:asciiTheme="minorHAnsi" w:hAnsiTheme="minorHAnsi" w:ascii="Calibri" w:hAnsi="Calibri"/>
          <w:sz w:val="26"/>
          <w:szCs w:val="26"/>
        </w:rPr>
      </w:r>
    </w:p>
    <w:p>
      <w:pPr>
        <w:pStyle w:val="Normal"/>
        <w:spacing w:lineRule="auto" w:line="360"/>
        <w:ind w:firstLine="708"/>
        <w:jc w:val="right"/>
        <w:rPr>
          <w:rFonts w:ascii="Calibri" w:hAnsi="Calibri" w:asciiTheme="minorHAnsi" w:hAnsiTheme="minorHAnsi"/>
          <w:sz w:val="26"/>
          <w:szCs w:val="26"/>
        </w:rPr>
      </w:pPr>
      <w:r>
        <w:rPr>
          <w:rFonts w:asciiTheme="minorHAnsi" w:hAnsiTheme="minorHAnsi" w:ascii="Calibri" w:hAnsi="Calibri"/>
          <w:sz w:val="26"/>
          <w:szCs w:val="26"/>
        </w:rPr>
      </w:r>
    </w:p>
    <w:p>
      <w:pPr>
        <w:pStyle w:val="Normal"/>
        <w:spacing w:lineRule="auto" w:line="360"/>
        <w:ind w:firstLine="708"/>
        <w:jc w:val="right"/>
        <w:rPr>
          <w:rFonts w:ascii="Calibri" w:hAnsi="Calibri" w:asciiTheme="minorHAnsi" w:hAnsiTheme="minorHAnsi"/>
          <w:sz w:val="26"/>
          <w:szCs w:val="26"/>
        </w:rPr>
      </w:pPr>
      <w:r>
        <w:rPr/>
      </w:r>
    </w:p>
    <w:sectPr>
      <w:type w:val="nextPage"/>
      <w:pgSz w:w="11906" w:h="16838"/>
      <w:pgMar w:left="1418" w:right="849" w:header="0" w:top="540"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111fdb"/>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rong">
    <w:name w:val="Strong"/>
    <w:uiPriority w:val="22"/>
    <w:qFormat/>
    <w:rsid w:val="001c51b8"/>
    <w:rPr>
      <w:b/>
      <w:bCs/>
    </w:rPr>
  </w:style>
  <w:style w:type="character" w:styleId="Style13">
    <w:name w:val="Интернет-ссылка"/>
    <w:uiPriority w:val="99"/>
    <w:unhideWhenUsed/>
    <w:rsid w:val="001c51b8"/>
    <w:rPr>
      <w:color w:val="0000FF"/>
      <w:u w:val="single"/>
    </w:rPr>
  </w:style>
  <w:style w:type="character" w:styleId="11" w:customStyle="1">
    <w:name w:val="Заголовок 1 Знак"/>
    <w:link w:val="1"/>
    <w:uiPriority w:val="9"/>
    <w:qFormat/>
    <w:rsid w:val="00111fdb"/>
    <w:rPr>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1c51b8"/>
    <w:pPr>
      <w:spacing w:beforeAutospacing="1" w:afterAutospacing="1"/>
    </w:pPr>
    <w:rPr/>
  </w:style>
  <w:style w:type="paragraph" w:styleId="NoSpacing">
    <w:name w:val="No Spacing"/>
    <w:uiPriority w:val="1"/>
    <w:qFormat/>
    <w:rsid w:val="00dd2eb9"/>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2901@035.p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LibreOffice/7.0.4.2$Windows_x86 LibreOffice_project/dcf040e67528d9187c66b2379df5ea4407429775</Application>
  <AppVersion>15.0000</AppVersion>
  <Pages>1</Pages>
  <Words>254</Words>
  <Characters>1837</Characters>
  <CharactersWithSpaces>2104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2022-11-03T01:22:00Z</dcterms:created>
  <dc:creator>14051</dc:creator>
  <dc:description/>
  <dc:language>ru-RU</dc:language>
  <cp:lastModifiedBy>Туркеева Елена Александровна</cp:lastModifiedBy>
  <cp:lastPrinted>2022-11-03T16:07:00Z</cp:lastPrinted>
  <dcterms:modified xsi:type="dcterms:W3CDTF">2022-11-03T04:39:00Z</dcterms:modified>
  <cp:revision>6</cp:revision>
  <dc:subject/>
  <dc:title>ВНИМАНИЮ</dc:title>
</cp:coreProperties>
</file>

<file path=docProps/custom.xml><?xml version="1.0" encoding="utf-8"?>
<Properties xmlns="http://schemas.openxmlformats.org/officeDocument/2006/custom-properties" xmlns:vt="http://schemas.openxmlformats.org/officeDocument/2006/docPropsVTypes"/>
</file>