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both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b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Пенсионный фонд продлил до конца июля упрощенный порядок оформления пенсий и социальных выплат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2"/>
        <w:rPr>
          <w:rFonts w:ascii="Calibri" w:hAnsi="Calibri" w:asciiTheme="minorHAnsi" w:hAnsiTheme="minorHAnsi"/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 июля  2020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с. Чугуевка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Пенсионный фонд России продлил ряд временных мер, введенных с апреля по июнь из-за сложной эпидемиологической обстановки, чтобы в упрощенном режиме назначать пенсии и принимать решения по их выплате. До конца июля ПФР продолжит дистанционно назначать отдельные виды пенсий и пособий, оказывать содействие гражданам в запросе необходимых сведений, проактивно продлевать и пересчитывать ранее назначенные выплаты.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Calibri" w:hAnsi="Calibri" w:asciiTheme="minorHAnsi" w:hAnsiTheme="minorHAnsi"/>
          <w:b/>
          <w:b/>
          <w:bCs/>
          <w:kern w:val="2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Дистанционное назначение пенсии через личный кабинет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 xml:space="preserve">Большинство пенсий сегодня оформляется по электронным заявлениям, которые подаются через личный кабинет на портале Пенсионного фонда </w:t>
      </w:r>
      <w:hyperlink r:id="rId3" w:tgtFrame="_blank">
        <w:r>
          <w:rPr>
            <w:rFonts w:ascii="Times New Roman" w:hAnsi="Times New Roman"/>
            <w:color w:val="0000FF"/>
            <w:sz w:val="26"/>
            <w:szCs w:val="26"/>
            <w:u w:val="single"/>
          </w:rPr>
          <w:t>es.pfrf.ru</w:t>
        </w:r>
      </w:hyperlink>
      <w:r>
        <w:rPr>
          <w:rFonts w:ascii="Times New Roman" w:hAnsi="Times New Roman"/>
          <w:sz w:val="26"/>
          <w:szCs w:val="26"/>
        </w:rPr>
        <w:t xml:space="preserve"> и портале Госуслуг.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Наполнение лицевых счетов предпенсионеров сведениями о стаже и заработной плате, данными о нестраховых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Благодаря этому большинство пенсий в период с апреля по июль назначается удаленно и не требует личного визита в клиентскую службу ПФР.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Calibri" w:hAnsi="Calibri" w:asciiTheme="minorHAnsi" w:hAnsiTheme="minorHAnsi"/>
          <w:b/>
          <w:b/>
          <w:bCs/>
          <w:kern w:val="2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Дистанционное назначение пенсии по телефону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Если у человека нет возможности подать электронное заявление о назначении пенсии, территориальные органы ПФР при наличии контактной информации связываются с ним по телефону и получают согласие на оформление пенсии, что отражается в специальном акте. На основе этого документа формируется заявление о назначении пенсии и запускаются дальнейшие процессы по ее оформлению.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Следует отметить, что специалисты Пенсионного фонда никогда не запрашивают персональные данные, СНИЛС, номер банковской карты или ее ПИН-код, а также пароль доступа к личному кабинету. Если по телефону просят предоставить такую информацию, скорее всего, человек имеет дело с мошенниками. Пенсионный фонд настоятельно рекомендует не доверять сомнительным звонкам или письмам и при подозрении на мошенничество незамедлительно прекратить дальнейшее общение.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Calibri" w:hAnsi="Calibri" w:asciiTheme="minorHAnsi" w:hAnsiTheme="minorHAnsi"/>
          <w:b/>
          <w:b/>
          <w:bCs/>
          <w:kern w:val="2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Содействие в сборе сведений и беззаявительный перерасчет выплат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Территориальные органы Пенсионного фонда в обязательном порядке оказывают содействие гражданам в запросе сведений, необходимых для назначения пенсии. В том числе документов, которые по закону должен представить сам человек.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В тех случаях, когда ответы на запросы ПФР о предоставлении сведений задерживаются или не поступают от работодателей, архивов и других организаций, территориальные органы фонда руководствуются имеющимися сведениями и назначают выплаты на их основе с согласия человека.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При поступлении дополнительной информации, влияющей на пенсионные права, размер пенсии автоматически пересчитывается за все прошедшие месяцы без дополнительного заявления от пенсионера.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Calibri" w:hAnsi="Calibri" w:asciiTheme="minorHAnsi" w:hAnsiTheme="minorHAnsi"/>
          <w:b/>
          <w:b/>
          <w:bCs/>
          <w:kern w:val="2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Проактивное повышение выплат пенсионерам, достигшим 80 лет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Как известно, пенсионеры, которым исполнилось 80 лет, имеют право на повышенную фиксированную выплату. В этом году ее размер составляет 11 372,5 рубля. Однако устанавливается такая повышенная фиксированная выплата только получателям страховой пенсии по старости. К страховой пенсии по случаю потери кормильца повышенная фиксированная выплата не устанавливается. Поэтому с апреля до конца июля территориальные органы фонда самостоятельно определяют получателей пенсии по потере кормильца, которым исполняется 80 лет, чтобы без заявления назначить им более выгодный вариант страховой пенсии с учетом повышения фиксированной выплаты. Такое решение выносится на основе дистанционно полученного согласия пенсионера.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Calibri" w:hAnsi="Calibri" w:asciiTheme="minorHAnsi" w:hAnsiTheme="minorHAnsi"/>
          <w:b/>
          <w:b/>
          <w:bCs/>
          <w:kern w:val="2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Назначение и продление пенсии инвалидам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Помимо этого, с 1 марта до 1 октября 2020 года действует временный порядок определения инвалидности, согласно которому вся процедура происходит исключительно на основе документов медицинских учреждений, без посещения инвалидом бюро медико-социальной экспертизы.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Calibri" w:hAnsi="Calibri" w:asciiTheme="minorHAnsi" w:hAnsiTheme="minorHAnsi"/>
          <w:b/>
          <w:b/>
          <w:bCs/>
          <w:kern w:val="2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Calibri" w:hAnsi="Calibri" w:asciiTheme="minorHAnsi" w:hAnsiTheme="minorHAnsi"/>
          <w:b/>
          <w:b/>
          <w:bCs/>
          <w:kern w:val="2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Calibri" w:hAnsi="Calibri" w:asciiTheme="minorHAnsi" w:hAnsiTheme="minorHAnsi"/>
          <w:b/>
          <w:b/>
          <w:bCs/>
          <w:kern w:val="2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Назначение повышенной пенсии северянам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 xml:space="preserve">Всем пенсионерам, которые живут в северных регионах, устанавливается повышенная фиксированная выплата к страховой пенсии. Ее размер зависит от района проживания и при назначении пенсии определяется по документам о регистрации. Если у пенсионера отсутствует прописка в северном регионе, то фактическое место жительства  подтверждается личным заявлением пенсионера, которое необходимо раз в год представлять в Пенсионный фонд для продления права на выплату фиксированной выплаты в повышенном размере. Такая норма распространяется на пенсионеров, не выработавших требуемый северный стаж, но проживающих в северных регионах. В Приморском крае таких районов, приравненных к Крайнему Северу 5 (г. Дальнегорск, Ольгинский, Тернейский, Кавалеровский и частично Красноармейский районы).   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До конца июля это заявление больше не нужно подавать в территориальный орган ПФР, поскольку сведения о месте жительства будут уточняться самими специалистами фонда в рамках межведомственного взаимодействия с Министерством внутренних дел, по данным от работодателей либо по телефону при общении с самим пенсионером.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Calibri" w:hAnsi="Calibri" w:asciiTheme="minorHAnsi" w:hAnsiTheme="minorHAnsi"/>
          <w:b/>
          <w:b/>
          <w:bCs/>
          <w:kern w:val="2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Продление выплаты пенсии по доверенности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конца июля данный порядок приостановлен и факт получения пенсии подразумевается по умолчанию, благодаря этому выплата по доверенности продолжается даже по истечении выплатного периода.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Calibri" w:hAnsi="Calibri" w:asciiTheme="minorHAnsi" w:hAnsiTheme="minorHAnsi"/>
          <w:b/>
          <w:b/>
          <w:bCs/>
          <w:kern w:val="2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Продление выплат пенсионерам без прописки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Пенсионеры, у которых нет постоянного места жительства в России, получают социальную пенсию. Согласно закону, она назначается при 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 год, чтобы не потерять право на выплату. До конца июля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Calibri" w:hAnsi="Calibri" w:asciiTheme="minorHAnsi" w:hAnsiTheme="minorHAnsi"/>
          <w:b/>
          <w:b/>
          <w:bCs/>
          <w:kern w:val="2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Продление ежемесячной выплаты из материнского капитала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Семьям, получающим ежемесячную выплату из материнского капитала, в ближайшие месяцы не 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средств продляется автоматически.</w:t>
      </w:r>
    </w:p>
    <w:p>
      <w:pPr>
        <w:pStyle w:val="NormalWeb"/>
        <w:spacing w:before="280" w:after="280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1203" w:right="850" w:header="0" w:top="426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es.pfrf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LibreOffice/6.4.2.2$Windows_X86_64 LibreOffice_project/4e471d8c02c9c90f512f7f9ead8875b57fcb1ec3</Application>
  <Pages>3</Pages>
  <Words>928</Words>
  <Characters>6322</Characters>
  <CharactersWithSpaces>7234</CharactersWithSpaces>
  <Paragraphs>33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2020-07-02T23:24:00Z</dcterms:created>
  <dc:creator>Смыченко Лидия Михайловна</dc:creator>
  <dc:description/>
  <dc:language>ru-RU</dc:language>
  <cp:lastModifiedBy/>
  <cp:lastPrinted>2020-07-03T12:10:43Z</cp:lastPrinted>
  <dcterms:modified xsi:type="dcterms:W3CDTF">2020-07-03T12:10:46Z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