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/>
        <w:jc w:val="right"/>
        <w:rPr>
          <w:b/>
          <w:b/>
          <w:i/>
          <w:i/>
        </w:rPr>
      </w:pPr>
      <w:r>
        <w:rPr>
          <w:b/>
          <w:i/>
          <w:sz w:val="28"/>
          <w:szCs w:val="28"/>
        </w:rPr>
        <w:t xml:space="preserve">ТИПОВОЙ </w:t>
      </w:r>
    </w:p>
    <w:p>
      <w:pPr>
        <w:pStyle w:val="Normal"/>
        <w:spacing w:lineRule="auto" w:line="21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>
      <w:pPr>
        <w:pStyle w:val="Normal"/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jc w:val="center"/>
        <w:rPr>
          <w:i/>
          <w:i/>
        </w:rPr>
      </w:pPr>
      <w:r>
        <w:rPr>
          <w:b/>
          <w:sz w:val="28"/>
          <w:szCs w:val="28"/>
        </w:rPr>
        <w:t xml:space="preserve">работников </w:t>
      </w:r>
      <w:r>
        <w:rPr>
          <w:i/>
          <w:sz w:val="28"/>
          <w:szCs w:val="28"/>
        </w:rPr>
        <w:t>(наименование учреждения)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сотрудников (наименование учреждения) (далее ‒ Учреждение)</w:t>
      </w:r>
      <w:r>
        <w:rPr>
          <w:bCs/>
          <w:sz w:val="28"/>
          <w:szCs w:val="28"/>
        </w:rPr>
        <w:t xml:space="preserve"> разработан в соответствии с положениями </w:t>
      </w:r>
      <w:r>
        <w:rPr>
          <w:bCs/>
          <w:sz w:val="28"/>
          <w:szCs w:val="28"/>
        </w:rPr>
        <w:t>Конституции</w:t>
      </w:r>
      <w:r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 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Кодекс представляет собой свод общих принципов и правил служебного поведения, которыми должны руководствоваться все работники Учреждения (далее ‒ работники) независимо от замещаемых ими должностей.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 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и обеспечение единых норм поведения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>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Кодекс призван повысить эффективность выполнения </w:t>
      </w:r>
      <w:r>
        <w:rPr>
          <w:sz w:val="28"/>
          <w:szCs w:val="28"/>
        </w:rPr>
        <w:t>работни</w:t>
      </w:r>
      <w:r>
        <w:rPr>
          <w:color w:val="000000"/>
          <w:sz w:val="28"/>
          <w:szCs w:val="28"/>
        </w:rPr>
        <w:t xml:space="preserve">ками своих должностных обязанностей.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Гражданин, поступающий на работу в Учреждение, обязан ознакомиться с положениями Кодекса и соблюдать их в процессе профессиональной деятельности.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 Знание и соблюдение </w:t>
      </w:r>
      <w:r>
        <w:rPr>
          <w:sz w:val="28"/>
          <w:szCs w:val="28"/>
        </w:rPr>
        <w:t>работниками</w:t>
      </w:r>
      <w:r>
        <w:rPr>
          <w:color w:val="000000"/>
          <w:sz w:val="28"/>
          <w:szCs w:val="28"/>
        </w:rPr>
        <w:t xml:space="preserve"> положений Кодекса является одним из критериев оценки их профессиональной деятельности и служебного поведения.</w:t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II. Общие принципы и правила служебного поведения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Деятельность Учреждения, а также его работников основывается на следующих принципах: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а) законность;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профессионализм и компетентность;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независимость;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добросовестность;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конфиденциальность;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справедливость;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информационная открытость.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Работники Учреждения должны соблюдать следующие общие правила служебного поведения: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при исполнении своих должностных обязанностей работник должен: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быть независимым от влияния отдельных граждан, профессиональных или социальных групп и организаций;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нормы профессиональной этики и правила делового поведения;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проявлять корректность и внимательность в обращении с гражданами и должностными лицами;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при исполнении своих должностных обязанностей работник не должен: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оказывать предпочтение каким-либо профессиональным или социальным группам и организациям;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>
      <w:pPr>
        <w:pStyle w:val="Normal"/>
        <w:autoSpaceDE w:val="false"/>
        <w:ind w:firstLine="709"/>
        <w:jc w:val="both"/>
        <w:rPr>
          <w:b/>
          <w:b/>
          <w:i/>
          <w:i/>
        </w:rPr>
      </w:pPr>
      <w:r>
        <w:rPr>
          <w:sz w:val="28"/>
          <w:szCs w:val="28"/>
        </w:rPr>
        <w:t>8. В целях противодействия коррупции работнику рекомендуется: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9. Работник может обрабатывать и передавать служебную информацию при соблюдении действующих в Учреждении норм и требований, принятых в соответствии с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>
      <w:pPr>
        <w:pStyle w:val="Normal"/>
        <w:autoSpaceDE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>
          <w:b/>
          <w:b/>
          <w:lang w:val="en-US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>
          <w:b/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II. Этические правила служебного поведения работников</w:t>
      </w:r>
    </w:p>
    <w:p>
      <w:pPr>
        <w:pStyle w:val="Normal"/>
        <w:autoSpaceDE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 служебном поведении работник воздерживается от: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Внешний вид работника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center"/>
        <w:rPr>
          <w:b/>
          <w:b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 за нарушение положений Кодекса</w:t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Нарушение работником положений Кодекса подлежит анализу и при подтверждении факта нарушения – моральному осуждению. 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 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sectPr>
      <w:footerReference w:type="default" r:id="rId2"/>
      <w:type w:val="nextPage"/>
      <w:pgSz w:w="11906" w:h="16838"/>
      <w:pgMar w:left="1418" w:right="851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 xml:space="preserve"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4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75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 xml:space="preserve"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4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Font31">
    <w:name w:val="font31"/>
    <w:basedOn w:val="Style14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Page Number"/>
    <w:basedOn w:val="Style14"/>
    <w:rPr/>
  </w:style>
  <w:style w:type="character" w:styleId="Style17">
    <w:name w:val="Знак примечания"/>
    <w:qFormat/>
    <w:rPr>
      <w:sz w:val="16"/>
      <w:szCs w:val="16"/>
    </w:rPr>
  </w:style>
  <w:style w:type="character" w:styleId="Style18">
    <w:name w:val="Текст примечания Знак"/>
    <w:basedOn w:val="Style14"/>
    <w:qFormat/>
    <w:rPr/>
  </w:style>
  <w:style w:type="character" w:styleId="Style19">
    <w:name w:val="Тема примечания Знак"/>
    <w:qFormat/>
    <w:rPr>
      <w:b/>
      <w:bCs/>
    </w:rPr>
  </w:style>
  <w:style w:type="character" w:styleId="Style20">
    <w:name w:val="Hyperlink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Текст примечания"/>
    <w:basedOn w:val="Normal"/>
    <w:qFormat/>
    <w:pPr/>
    <w:rPr>
      <w:sz w:val="20"/>
      <w:szCs w:val="20"/>
    </w:rPr>
  </w:style>
  <w:style w:type="paragraph" w:styleId="Style30">
    <w:name w:val="Тема примечания"/>
    <w:basedOn w:val="Style29"/>
    <w:next w:val="Style29"/>
    <w:qFormat/>
    <w:pPr/>
    <w:rPr>
      <w:b/>
      <w:bCs/>
    </w:rPr>
  </w:style>
  <w:style w:type="paragraph" w:styleId="Style31">
    <w:name w:val="Рецензия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30</TotalTime>
  <Application>LibreOffice/7.4.2.3$Linux_X86_64 LibreOffice_project/382eef1f22670f7f4118c8c2dd222ec7ad009daf</Application>
  <AppVersion>15.0000</AppVersion>
  <Pages>4</Pages>
  <Words>1017</Words>
  <Characters>7621</Characters>
  <CharactersWithSpaces>8588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2016-10-17T11:18:00Z</dcterms:created>
  <dc:creator>nikonov</dc:creator>
  <dc:description/>
  <cp:keywords/>
  <dc:language>ru-RU</dc:language>
  <cp:lastModifiedBy/>
  <cp:lastPrinted>2016-10-14T09:17:00Z</cp:lastPrinted>
  <dcterms:modified xsi:type="dcterms:W3CDTF">2023-07-25T09:40:53Z</dcterms:modified>
  <cp:revision>11</cp:revision>
  <dc:subject/>
  <dc:title>Типовой кодекс этики и служебного поведения</dc:title>
</cp:coreProperties>
</file>