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96CE" w14:textId="77777777" w:rsidR="0025073E" w:rsidRPr="0025073E" w:rsidRDefault="0025073E" w:rsidP="0025073E">
      <w:pPr>
        <w:shd w:val="clear" w:color="auto" w:fill="FFFFFF"/>
        <w:spacing w:after="0" w:line="315" w:lineRule="atLeast"/>
        <w:jc w:val="both"/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</w:pPr>
      <w:r w:rsidRPr="0025073E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 </w:t>
      </w:r>
      <w:r w:rsidRPr="0025073E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установление</w:t>
      </w:r>
      <w:r w:rsidRPr="0025073E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 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 </w:t>
      </w:r>
      <w:r w:rsidRPr="0025073E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обязанности осуществления процедур, не предусмотренных исчерпывающими перечнями процедур в сферах строительства</w:t>
      </w:r>
      <w:r w:rsidRPr="0025073E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 </w:t>
      </w:r>
      <w:r w:rsidRPr="0025073E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не допускается</w:t>
      </w:r>
      <w:r w:rsidRPr="0025073E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.</w:t>
      </w:r>
    </w:p>
    <w:p w14:paraId="0EBC2B4A" w14:textId="77777777" w:rsidR="0025073E" w:rsidRPr="0025073E" w:rsidRDefault="0025073E" w:rsidP="0025073E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</w:pPr>
      <w:r w:rsidRPr="0025073E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Реестры описаний процедур, включенных в исчерпывающие перечни процедур в следующих сферах:</w:t>
      </w:r>
    </w:p>
    <w:p w14:paraId="63D5702D" w14:textId="77777777" w:rsidR="0025073E" w:rsidRPr="0025073E" w:rsidRDefault="0025073E" w:rsidP="0025073E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</w:pPr>
      <w:r w:rsidRPr="0025073E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в сфере жилищного строительства;</w:t>
      </w:r>
    </w:p>
    <w:p w14:paraId="0E3D5454" w14:textId="77777777" w:rsidR="0025073E" w:rsidRPr="0025073E" w:rsidRDefault="0025073E" w:rsidP="0025073E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</w:pPr>
      <w:r w:rsidRPr="0025073E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в сфере строительства линейных объектов водоснабжения и водоотведения и в сфере строительства объектов водоснабжения и водоотведения, за исключением линейных объектов;</w:t>
      </w:r>
    </w:p>
    <w:p w14:paraId="61D8D628" w14:textId="77777777" w:rsidR="0025073E" w:rsidRPr="0025073E" w:rsidRDefault="0025073E" w:rsidP="0025073E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</w:pPr>
      <w:r w:rsidRPr="0025073E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в сфере строительства объектов электросетевого хозяйства с уровнем напряжения ниже 35 </w:t>
      </w:r>
      <w:proofErr w:type="spellStart"/>
      <w:r w:rsidRPr="0025073E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кВ</w:t>
      </w:r>
      <w:proofErr w:type="spellEnd"/>
      <w:r w:rsidRPr="0025073E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;</w:t>
      </w:r>
    </w:p>
    <w:p w14:paraId="569CACD9" w14:textId="77777777" w:rsidR="0025073E" w:rsidRPr="0025073E" w:rsidRDefault="0025073E" w:rsidP="0025073E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</w:pPr>
      <w:r w:rsidRPr="0025073E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в сфере строительства объектов капитального строительства нежилого назначения;</w:t>
      </w:r>
      <w:bookmarkStart w:id="0" w:name="_GoBack"/>
      <w:bookmarkEnd w:id="0"/>
    </w:p>
    <w:p w14:paraId="539FE563" w14:textId="77777777" w:rsidR="0025073E" w:rsidRPr="0025073E" w:rsidRDefault="0025073E" w:rsidP="0025073E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</w:pPr>
      <w:r w:rsidRPr="0025073E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в сфере строительства сетей теплоснабжения;</w:t>
      </w:r>
    </w:p>
    <w:p w14:paraId="382FD7AA" w14:textId="77777777" w:rsidR="0025073E" w:rsidRPr="0025073E" w:rsidRDefault="0025073E" w:rsidP="0025073E">
      <w:pPr>
        <w:shd w:val="clear" w:color="auto" w:fill="FFFFFF"/>
        <w:spacing w:after="0" w:line="315" w:lineRule="atLeast"/>
        <w:jc w:val="both"/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</w:pPr>
      <w:r w:rsidRPr="0025073E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размещены по следующей ссылке </w:t>
      </w:r>
      <w:hyperlink r:id="rId5" w:tgtFrame="_blank" w:history="1">
        <w:r w:rsidRPr="0025073E">
          <w:rPr>
            <w:rFonts w:ascii="GothamProRegular" w:eastAsia="Times New Roman" w:hAnsi="GothamProRegular" w:cs="Times New Roman"/>
            <w:color w:val="0D6EB1"/>
            <w:sz w:val="28"/>
            <w:szCs w:val="28"/>
            <w:u w:val="single"/>
            <w:lang w:eastAsia="ru-RU"/>
          </w:rPr>
          <w:t>https://rops.minstroyrf.ru/</w:t>
        </w:r>
      </w:hyperlink>
    </w:p>
    <w:p w14:paraId="236AA05B" w14:textId="04DA6CE0" w:rsidR="001B17D8" w:rsidRPr="0025073E" w:rsidRDefault="001B17D8" w:rsidP="002507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17D8" w:rsidRPr="0025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ProRegular">
    <w:altName w:val="Cambria"/>
    <w:panose1 w:val="00000000000000000000"/>
    <w:charset w:val="00"/>
    <w:family w:val="roman"/>
    <w:notTrueType/>
    <w:pitch w:val="default"/>
  </w:font>
  <w:font w:name="GothamProMedi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59CB"/>
    <w:multiLevelType w:val="multilevel"/>
    <w:tmpl w:val="22381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56E"/>
    <w:rsid w:val="0011632F"/>
    <w:rsid w:val="001B17D8"/>
    <w:rsid w:val="0025073E"/>
    <w:rsid w:val="004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28F5"/>
  <w15:docId w15:val="{EFE9F9A4-1748-4A43-A01F-5CFD824C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73E"/>
    <w:rPr>
      <w:b/>
      <w:bCs/>
    </w:rPr>
  </w:style>
  <w:style w:type="character" w:styleId="a5">
    <w:name w:val="Hyperlink"/>
    <w:basedOn w:val="a0"/>
    <w:uiPriority w:val="99"/>
    <w:semiHidden/>
    <w:unhideWhenUsed/>
    <w:rsid w:val="00250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ps.minstroy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Tubol</cp:lastModifiedBy>
  <cp:revision>4</cp:revision>
  <dcterms:created xsi:type="dcterms:W3CDTF">2018-07-05T03:17:00Z</dcterms:created>
  <dcterms:modified xsi:type="dcterms:W3CDTF">2020-10-02T11:56:00Z</dcterms:modified>
</cp:coreProperties>
</file>