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</w:r>
    </w:p>
    <w:tbl>
      <w:tblPr>
        <w:tblStyle w:val="aa"/>
        <w:tblW w:w="9571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376"/>
        <w:gridCol w:w="7194"/>
      </w:tblGrid>
      <w:tr>
        <w:trPr>
          <w:trHeight w:val="1845" w:hRule="atLeast"/>
        </w:trPr>
        <w:tc>
          <w:tcPr>
            <w:tcW w:w="2376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rPr/>
            </w:pPr>
            <w:r>
              <w:rPr/>
              <w:drawing>
                <wp:anchor behindDoc="1" distT="0" distB="0" distL="0" distR="0" simplePos="0" locked="0" layoutInCell="1" allowOverlap="1" relativeHeight="2">
                  <wp:simplePos x="0" y="0"/>
                  <wp:positionH relativeFrom="column">
                    <wp:posOffset>153670</wp:posOffset>
                  </wp:positionH>
                  <wp:positionV relativeFrom="paragraph">
                    <wp:posOffset>21590</wp:posOffset>
                  </wp:positionV>
                  <wp:extent cx="1101725" cy="1112520"/>
                  <wp:effectExtent l="0" t="0" r="0" b="0"/>
                  <wp:wrapNone/>
                  <wp:docPr id="1" name="Рисунок 1" descr="C:\С диска F\Мои документы1\30 лет ПФР\LOGO  по частям\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C:\С диска F\Мои документы1\30 лет ПФР\LOGO  по частям\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1725" cy="1112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</w:tc>
        <w:tc>
          <w:tcPr>
            <w:tcW w:w="7194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spacing w:lineRule="auto" w:line="276"/>
              <w:ind w:right="-5" w:hanging="0"/>
              <w:jc w:val="center"/>
              <w:rPr>
                <w:b/>
                <w:b/>
                <w:i/>
                <w:i/>
              </w:rPr>
            </w:pPr>
            <w:r>
              <w:rPr>
                <w:b/>
                <w:i/>
              </w:rPr>
              <w:t xml:space="preserve">      </w:t>
            </w:r>
          </w:p>
          <w:p>
            <w:pPr>
              <w:pStyle w:val="Normal"/>
              <w:spacing w:lineRule="auto" w:line="360"/>
              <w:ind w:right="-5" w:hanging="0"/>
              <w:jc w:val="center"/>
              <w:rPr>
                <w:b/>
                <w:b/>
              </w:rPr>
            </w:pPr>
            <w:r>
              <w:rPr>
                <w:b/>
              </w:rPr>
              <w:t xml:space="preserve"> </w:t>
            </w:r>
            <w:r>
              <w:rPr>
                <w:b/>
              </w:rPr>
              <w:t xml:space="preserve">ГОСУДАРСТВЕННОЕ УЧРЕЖДЕНИЕ – </w:t>
            </w:r>
          </w:p>
          <w:p>
            <w:pPr>
              <w:pStyle w:val="Normal"/>
              <w:spacing w:lineRule="auto" w:line="360"/>
              <w:ind w:right="-5" w:hanging="0"/>
              <w:jc w:val="center"/>
              <w:rPr>
                <w:b/>
                <w:b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УПРАВ</w:t>
            </w:r>
            <w:r>
              <w:rPr>
                <w:b/>
              </w:rPr>
              <w:t>ЛЕНИЕ ПЕНСИОННОГО ФОНДА</w:t>
            </w:r>
          </w:p>
          <w:p>
            <w:pPr>
              <w:pStyle w:val="Normal"/>
              <w:spacing w:lineRule="auto" w:line="360"/>
              <w:ind w:right="-5" w:hanging="0"/>
              <w:jc w:val="center"/>
              <w:rPr>
                <w:b/>
                <w:b/>
              </w:rPr>
            </w:pPr>
            <w:r>
              <w:rPr>
                <w:b/>
              </w:rPr>
              <w:t xml:space="preserve">РОССИЙСКОЙ ФЕДЕРАЦИИ ПО </w:t>
            </w:r>
            <w:r>
              <w:rPr>
                <w:b/>
              </w:rPr>
              <w:t>ЧУГУЕВСКОМУ РАЙОНУ</w:t>
            </w:r>
            <w:r>
              <w:rPr>
                <w:b/>
              </w:rPr>
              <w:t xml:space="preserve"> ПРИМОРСКО</w:t>
            </w:r>
            <w:r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ГО</w:t>
            </w:r>
            <w:r>
              <w:rPr>
                <w:b/>
              </w:rPr>
              <w:t xml:space="preserve"> КРА</w:t>
            </w:r>
            <w:r>
              <w:rPr>
                <w:b/>
              </w:rPr>
              <w:t>Я</w:t>
            </w:r>
          </w:p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spacing w:lineRule="auto" w:line="276" w:before="0" w:after="200"/>
        <w:rPr>
          <w:rFonts w:ascii="Calibri" w:hAnsi="Calibri" w:asciiTheme="minorHAnsi" w:hAnsiTheme="minorHAnsi"/>
          <w:b/>
          <w:b/>
          <w:bCs/>
        </w:rPr>
      </w:pPr>
      <w:r>
        <w:rPr>
          <w:rFonts w:ascii="Times New Roman" w:hAnsi="Times New Roman"/>
          <w:b/>
          <w:bCs/>
          <w:sz w:val="26"/>
          <w:szCs w:val="26"/>
        </w:rPr>
        <w:t>Сделайте выбор до конца года!</w:t>
      </w:r>
      <w:bookmarkStart w:id="0" w:name="_GoBack"/>
      <w:bookmarkEnd w:id="0"/>
    </w:p>
    <w:p>
      <w:pPr>
        <w:pStyle w:val="Normal"/>
        <w:spacing w:lineRule="auto" w:line="276" w:before="0" w:after="200"/>
        <w:jc w:val="both"/>
        <w:rPr>
          <w:rFonts w:ascii="Calibri" w:hAnsi="Calibri" w:eastAsia="Calibri" w:asciiTheme="minorHAnsi" w:eastAsiaTheme="minorHAnsi" w:hAnsiTheme="minorHAnsi"/>
          <w:b/>
          <w:b/>
          <w:lang w:eastAsia="en-US"/>
        </w:rPr>
      </w:pPr>
      <w:r>
        <w:rPr>
          <w:rFonts w:eastAsia="Calibri" w:ascii="Times New Roman" w:hAnsi="Times New Roman" w:eastAsiaTheme="minorHAnsi"/>
          <w:b/>
          <w:sz w:val="26"/>
          <w:szCs w:val="26"/>
          <w:lang w:eastAsia="en-US"/>
        </w:rPr>
        <w:t>23</w:t>
      </w:r>
      <w:r>
        <w:rPr>
          <w:rFonts w:eastAsia="Calibri" w:ascii="Times New Roman" w:hAnsi="Times New Roman" w:eastAsiaTheme="minorHAnsi"/>
          <w:b/>
          <w:sz w:val="26"/>
          <w:szCs w:val="26"/>
          <w:lang w:eastAsia="en-US"/>
        </w:rPr>
        <w:t xml:space="preserve"> ноября 2020г, </w:t>
      </w:r>
      <w:r>
        <w:rPr>
          <w:rFonts w:eastAsia="Calibri" w:cs="Times New Roman" w:ascii="Times New Roman" w:hAnsi="Times New Roman" w:eastAsiaTheme="minorHAnsi"/>
          <w:b/>
          <w:sz w:val="26"/>
          <w:szCs w:val="26"/>
          <w:lang w:eastAsia="en-US"/>
        </w:rPr>
        <w:t>Чугуевка</w:t>
      </w:r>
    </w:p>
    <w:p>
      <w:pPr>
        <w:pStyle w:val="Normal"/>
        <w:spacing w:beforeAutospacing="1" w:afterAutospacing="1"/>
        <w:jc w:val="both"/>
        <w:rPr>
          <w:rFonts w:ascii="Calibri" w:hAnsi="Calibri" w:eastAsia="Calibri" w:asciiTheme="minorHAnsi" w:eastAsiaTheme="minorHAnsi" w:hAnsiTheme="minorHAnsi"/>
          <w:lang w:eastAsia="en-US"/>
        </w:rPr>
      </w:pPr>
      <w:r>
        <w:rPr>
          <w:rFonts w:eastAsia="Calibri" w:cs="Times New Roman" w:ascii="Times New Roman" w:hAnsi="Times New Roman" w:eastAsiaTheme="minorHAnsi"/>
          <w:bCs/>
          <w:sz w:val="26"/>
          <w:szCs w:val="26"/>
          <w:lang w:eastAsia="en-US"/>
        </w:rPr>
        <w:t>Управ</w:t>
      </w:r>
      <w:r>
        <w:rPr>
          <w:rFonts w:eastAsia="Calibri" w:ascii="Times New Roman" w:hAnsi="Times New Roman" w:eastAsiaTheme="minorHAnsi"/>
          <w:bCs/>
          <w:sz w:val="26"/>
          <w:szCs w:val="26"/>
          <w:lang w:eastAsia="en-US"/>
        </w:rPr>
        <w:t xml:space="preserve">ление Пенсионного фонда по </w:t>
      </w:r>
      <w:r>
        <w:rPr>
          <w:rFonts w:eastAsia="Calibri" w:ascii="Times New Roman" w:hAnsi="Times New Roman" w:eastAsiaTheme="minorHAnsi"/>
          <w:bCs/>
          <w:sz w:val="26"/>
          <w:szCs w:val="26"/>
          <w:lang w:eastAsia="en-US"/>
        </w:rPr>
        <w:t xml:space="preserve">Чугуевскому району </w:t>
      </w:r>
      <w:r>
        <w:rPr>
          <w:rFonts w:eastAsia="Calibri" w:ascii="Times New Roman" w:hAnsi="Times New Roman" w:eastAsiaTheme="minorHAnsi"/>
          <w:bCs/>
          <w:sz w:val="26"/>
          <w:szCs w:val="26"/>
          <w:lang w:eastAsia="en-US"/>
        </w:rPr>
        <w:t>Приморско</w:t>
      </w:r>
      <w:r>
        <w:rPr>
          <w:rFonts w:eastAsia="Calibri" w:ascii="Times New Roman" w:hAnsi="Times New Roman" w:eastAsiaTheme="minorHAnsi"/>
          <w:bCs/>
          <w:sz w:val="26"/>
          <w:szCs w:val="26"/>
          <w:lang w:eastAsia="en-US"/>
        </w:rPr>
        <w:t>го</w:t>
      </w:r>
      <w:r>
        <w:rPr>
          <w:rFonts w:eastAsia="Calibri" w:ascii="Times New Roman" w:hAnsi="Times New Roman" w:eastAsiaTheme="minorHAnsi"/>
          <w:bCs/>
          <w:sz w:val="26"/>
          <w:szCs w:val="26"/>
          <w:lang w:eastAsia="en-US"/>
        </w:rPr>
        <w:t xml:space="preserve"> кра</w:t>
      </w:r>
      <w:r>
        <w:rPr>
          <w:rFonts w:eastAsia="Calibri" w:ascii="Times New Roman" w:hAnsi="Times New Roman" w:eastAsiaTheme="minorHAnsi"/>
          <w:bCs/>
          <w:sz w:val="26"/>
          <w:szCs w:val="26"/>
          <w:lang w:eastAsia="en-US"/>
        </w:rPr>
        <w:t>я</w:t>
      </w:r>
      <w:r>
        <w:rPr>
          <w:rFonts w:eastAsia="Calibri" w:ascii="Times New Roman" w:hAnsi="Times New Roman" w:eastAsiaTheme="minorHAnsi"/>
          <w:bCs/>
          <w:sz w:val="26"/>
          <w:szCs w:val="26"/>
          <w:lang w:eastAsia="en-US"/>
        </w:rPr>
        <w:t xml:space="preserve"> напоминает, что всем работающим гражданам до конца 2020г. необходимо  сделать выбор о</w:t>
      </w:r>
      <w:r>
        <w:rPr>
          <w:rFonts w:eastAsia="Calibri" w:ascii="Times New Roman" w:hAnsi="Times New Roman" w:eastAsiaTheme="minorHAnsi"/>
          <w:b/>
          <w:bCs/>
          <w:sz w:val="26"/>
          <w:szCs w:val="26"/>
          <w:lang w:eastAsia="en-US"/>
        </w:rPr>
        <w:t xml:space="preserve"> </w:t>
      </w:r>
      <w:r>
        <w:rPr>
          <w:rFonts w:eastAsia="Calibri" w:ascii="Times New Roman" w:hAnsi="Times New Roman" w:eastAsiaTheme="minorHAnsi"/>
          <w:sz w:val="26"/>
          <w:szCs w:val="26"/>
          <w:lang w:eastAsia="en-US"/>
        </w:rPr>
        <w:t xml:space="preserve">ведении трудовой книжки в электронном виде или на бумажном носителе.  </w:t>
      </w:r>
    </w:p>
    <w:p>
      <w:pPr>
        <w:pStyle w:val="Normal"/>
        <w:spacing w:beforeAutospacing="1" w:afterAutospacing="1"/>
        <w:jc w:val="both"/>
        <w:rPr>
          <w:rFonts w:ascii="Calibri" w:hAnsi="Calibri" w:asciiTheme="minorHAnsi" w:hAnsiTheme="minorHAnsi"/>
        </w:rPr>
      </w:pPr>
      <w:r>
        <w:rPr>
          <w:rFonts w:eastAsia="Calibri" w:ascii="Times New Roman" w:hAnsi="Times New Roman" w:eastAsiaTheme="minorHAnsi"/>
          <w:sz w:val="26"/>
          <w:szCs w:val="26"/>
          <w:lang w:eastAsia="en-US"/>
        </w:rPr>
        <w:t xml:space="preserve">В электронной трудовой книжке </w:t>
      </w:r>
      <w:r>
        <w:rPr>
          <w:rFonts w:ascii="Times New Roman" w:hAnsi="Times New Roman"/>
          <w:sz w:val="26"/>
          <w:szCs w:val="26"/>
        </w:rPr>
        <w:t xml:space="preserve">сохранены практически все сведения, которые учитываются в бумажной трудовой книжке: информация о работнике, дата приема, увольнения, перевода на другую работу, место работы, должность, профессия, специальность. </w:t>
      </w:r>
    </w:p>
    <w:p>
      <w:pPr>
        <w:pStyle w:val="Normal"/>
        <w:spacing w:beforeAutospacing="1" w:afterAutospacing="1"/>
        <w:jc w:val="both"/>
        <w:rPr>
          <w:rFonts w:ascii="Calibri" w:hAnsi="Calibri" w:asciiTheme="minorHAnsi" w:hAnsiTheme="minorHAnsi"/>
        </w:rPr>
      </w:pPr>
      <w:r>
        <w:rPr>
          <w:rFonts w:ascii="Times New Roman" w:hAnsi="Times New Roman"/>
          <w:sz w:val="26"/>
          <w:szCs w:val="26"/>
        </w:rPr>
        <w:t>К числу преимуществ электронной трудовой книжки относятся:</w:t>
      </w:r>
    </w:p>
    <w:p>
      <w:pPr>
        <w:pStyle w:val="Normal"/>
        <w:numPr>
          <w:ilvl w:val="0"/>
          <w:numId w:val="1"/>
        </w:numPr>
        <w:spacing w:lineRule="auto" w:line="276" w:beforeAutospacing="1" w:afterAutospacing="1"/>
        <w:ind w:left="0" w:firstLine="851"/>
        <w:contextualSpacing/>
        <w:jc w:val="both"/>
        <w:outlineLvl w:val="1"/>
        <w:rPr>
          <w:rFonts w:ascii="Calibri" w:hAnsi="Calibri" w:asciiTheme="minorHAnsi" w:hAnsiTheme="minorHAnsi"/>
          <w:bCs/>
        </w:rPr>
      </w:pPr>
      <w:r>
        <w:rPr>
          <w:rFonts w:ascii="Times New Roman" w:hAnsi="Times New Roman"/>
          <w:bCs/>
          <w:sz w:val="26"/>
          <w:szCs w:val="26"/>
        </w:rPr>
        <w:t>у</w:t>
      </w:r>
      <w:r>
        <w:rPr>
          <w:rFonts w:ascii="Times New Roman" w:hAnsi="Times New Roman"/>
          <w:sz w:val="26"/>
          <w:szCs w:val="26"/>
        </w:rPr>
        <w:t xml:space="preserve">добный и быстрый доступ работников к  информации о своей трудовой деятельности, так как в любое время сведения, содержащиеся в трудовой книжке, можно будет посмотреть в личном кабинете на сайте ПФР или </w:t>
      </w:r>
      <w:r>
        <w:rPr>
          <w:rFonts w:ascii="Times New Roman" w:hAnsi="Times New Roman"/>
          <w:bCs/>
          <w:sz w:val="26"/>
          <w:szCs w:val="26"/>
        </w:rPr>
        <w:t>на портале Госуслуг;</w:t>
      </w:r>
    </w:p>
    <w:p>
      <w:pPr>
        <w:pStyle w:val="Normal"/>
        <w:numPr>
          <w:ilvl w:val="0"/>
          <w:numId w:val="2"/>
        </w:numPr>
        <w:spacing w:lineRule="auto" w:line="276" w:before="0" w:after="200"/>
        <w:ind w:left="0" w:firstLine="851"/>
        <w:contextualSpacing/>
        <w:jc w:val="both"/>
        <w:rPr>
          <w:rFonts w:ascii="Calibri" w:hAnsi="Calibri" w:asciiTheme="minorHAnsi" w:hAnsiTheme="minorHAnsi"/>
        </w:rPr>
      </w:pPr>
      <w:r>
        <w:rPr>
          <w:rFonts w:ascii="Times New Roman" w:hAnsi="Times New Roman"/>
          <w:sz w:val="26"/>
          <w:szCs w:val="26"/>
        </w:rPr>
        <w:t xml:space="preserve">минимизация ошибочных, неточных и недостоверных сведений о трудовой деятельности, так как работник всегда сможет проверить данные, внесенные работодателем; </w:t>
      </w:r>
    </w:p>
    <w:p>
      <w:pPr>
        <w:pStyle w:val="Normal"/>
        <w:numPr>
          <w:ilvl w:val="0"/>
          <w:numId w:val="2"/>
        </w:numPr>
        <w:spacing w:lineRule="auto" w:line="276" w:before="0" w:after="200"/>
        <w:ind w:left="0" w:firstLine="851"/>
        <w:contextualSpacing/>
        <w:jc w:val="both"/>
        <w:rPr>
          <w:rFonts w:ascii="Calibri" w:hAnsi="Calibri" w:asciiTheme="minorHAnsi" w:hAnsiTheme="minorHAnsi"/>
        </w:rPr>
      </w:pPr>
      <w:r>
        <w:rPr>
          <w:rFonts w:ascii="Times New Roman" w:hAnsi="Times New Roman"/>
          <w:sz w:val="26"/>
          <w:szCs w:val="26"/>
        </w:rPr>
        <w:t>дополнительные возможности дистанционного трудоустройства;</w:t>
      </w:r>
    </w:p>
    <w:p>
      <w:pPr>
        <w:pStyle w:val="Normal"/>
        <w:numPr>
          <w:ilvl w:val="0"/>
          <w:numId w:val="2"/>
        </w:numPr>
        <w:spacing w:lineRule="auto" w:line="276" w:before="0" w:after="200"/>
        <w:ind w:left="0" w:firstLine="851"/>
        <w:contextualSpacing/>
        <w:jc w:val="both"/>
        <w:rPr>
          <w:rFonts w:ascii="Calibri" w:hAnsi="Calibri" w:asciiTheme="minorHAnsi" w:hAnsiTheme="minorHAnsi"/>
        </w:rPr>
      </w:pPr>
      <w:r>
        <w:rPr>
          <w:rFonts w:ascii="Times New Roman" w:hAnsi="Times New Roman"/>
          <w:sz w:val="26"/>
          <w:szCs w:val="26"/>
        </w:rPr>
        <w:t xml:space="preserve">высокий уровень безопасности и сохранности данных. </w:t>
      </w:r>
    </w:p>
    <w:p>
      <w:pPr>
        <w:pStyle w:val="Normal"/>
        <w:spacing w:beforeAutospacing="1" w:afterAutospacing="1"/>
        <w:jc w:val="both"/>
        <w:rPr>
          <w:rFonts w:ascii="Calibri" w:hAnsi="Calibri" w:asciiTheme="minorHAnsi" w:hAnsiTheme="minorHAnsi"/>
        </w:rPr>
      </w:pPr>
      <w:r>
        <w:rPr>
          <w:rFonts w:ascii="Times New Roman" w:hAnsi="Times New Roman"/>
          <w:sz w:val="26"/>
          <w:szCs w:val="26"/>
        </w:rPr>
        <w:t>Для тех, кто впервые устроится на работу в 2021 году, сведения о периодах работы будут вестись только в электронном виде без оформления бумажной трудовой книжки.</w:t>
      </w:r>
    </w:p>
    <w:p>
      <w:pPr>
        <w:pStyle w:val="Normal"/>
        <w:spacing w:beforeAutospacing="1" w:afterAutospacing="1"/>
        <w:jc w:val="both"/>
        <w:rPr>
          <w:rFonts w:ascii="Calibri" w:hAnsi="Calibri" w:asciiTheme="minorHAnsi" w:hAnsiTheme="minorHAnsi"/>
          <w:bCs/>
        </w:rPr>
      </w:pPr>
      <w:r>
        <w:rPr>
          <w:rFonts w:ascii="Times New Roman" w:hAnsi="Times New Roman"/>
          <w:sz w:val="26"/>
          <w:szCs w:val="26"/>
        </w:rPr>
        <w:t xml:space="preserve">Работникам, которые не подадут заявление до 31 декабря 2020 года, работодатель продолжит вести трудовую книжку на бумаге. </w:t>
      </w:r>
    </w:p>
    <w:p>
      <w:pPr>
        <w:pStyle w:val="Normal"/>
        <w:spacing w:lineRule="auto" w:line="276" w:before="0" w:after="200"/>
        <w:ind w:firstLine="708"/>
        <w:jc w:val="both"/>
        <w:rPr>
          <w:rFonts w:ascii="Calibri" w:hAnsi="Calibri" w:asciiTheme="minorHAnsi" w:hAnsiTheme="minorHAnsi"/>
        </w:rPr>
      </w:pPr>
      <w:r>
        <w:rPr>
          <w:rFonts w:asciiTheme="minorHAnsi" w:hAnsiTheme="minorHAnsi" w:ascii="Calibri" w:hAnsi="Calibri"/>
        </w:rPr>
      </w:r>
    </w:p>
    <w:p>
      <w:pPr>
        <w:pStyle w:val="Normal"/>
        <w:spacing w:lineRule="auto" w:line="360"/>
        <w:rPr>
          <w:b/>
          <w:b/>
          <w:bCs/>
          <w:sz w:val="36"/>
          <w:szCs w:val="36"/>
        </w:rPr>
      </w:pPr>
      <w:r>
        <w:rPr/>
        <w:t xml:space="preserve">                                                                                                      </w:t>
      </w:r>
    </w:p>
    <w:p>
      <w:pPr>
        <w:pStyle w:val="Normal"/>
        <w:rPr/>
      </w:pPr>
      <w:r>
        <w:rPr/>
        <w:t xml:space="preserve"> </w:t>
      </w:r>
    </w:p>
    <w:sectPr>
      <w:type w:val="nextPage"/>
      <w:pgSz w:w="11906" w:h="16838"/>
      <w:pgMar w:left="1291" w:right="850" w:header="0" w:top="426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01"/>
    <w:family w:val="roman"/>
    <w:pitch w:val="variable"/>
  </w:font>
  <w:font w:name="Wingdings">
    <w:charset w:val="02"/>
    <w:family w:val="auto"/>
    <w:pitch w:val="variable"/>
  </w:font>
  <w:font w:name="Courier New">
    <w:charset w:val="01"/>
    <w:family w:val="modern"/>
    <w:pitch w:val="fixed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1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c26e21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ru-RU" w:val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rsid w:val="00c26e21"/>
    <w:rPr>
      <w:color w:val="0000FF"/>
      <w:u w:val="single"/>
    </w:rPr>
  </w:style>
  <w:style w:type="character" w:styleId="Strong">
    <w:name w:val="Strong"/>
    <w:uiPriority w:val="22"/>
    <w:qFormat/>
    <w:rsid w:val="00c26e21"/>
    <w:rPr>
      <w:b/>
      <w:bCs/>
    </w:rPr>
  </w:style>
  <w:style w:type="character" w:styleId="Style15">
    <w:name w:val="Выделение"/>
    <w:uiPriority w:val="20"/>
    <w:qFormat/>
    <w:rsid w:val="00c26e21"/>
    <w:rPr>
      <w:i/>
      <w:iCs/>
    </w:rPr>
  </w:style>
  <w:style w:type="character" w:styleId="Style16" w:customStyle="1">
    <w:name w:val="Текст выноски Знак"/>
    <w:basedOn w:val="DefaultParagraphFont"/>
    <w:link w:val="a8"/>
    <w:uiPriority w:val="99"/>
    <w:semiHidden/>
    <w:qFormat/>
    <w:rsid w:val="00c26e21"/>
    <w:rPr>
      <w:rFonts w:ascii="Tahoma" w:hAnsi="Tahoma" w:eastAsia="Times New Roman" w:cs="Tahoma"/>
      <w:sz w:val="16"/>
      <w:szCs w:val="16"/>
      <w:lang w:eastAsia="ru-RU"/>
    </w:rPr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8">
    <w:name w:val="Body Text"/>
    <w:basedOn w:val="Normal"/>
    <w:pPr>
      <w:spacing w:lineRule="auto" w:line="276" w:before="0" w:after="140"/>
    </w:pPr>
    <w:rPr/>
  </w:style>
  <w:style w:type="paragraph" w:styleId="Style19">
    <w:name w:val="List"/>
    <w:basedOn w:val="Style18"/>
    <w:pPr/>
    <w:rPr>
      <w:rFonts w:cs="Mangal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Mangal"/>
    </w:rPr>
  </w:style>
  <w:style w:type="paragraph" w:styleId="NoSpacing">
    <w:name w:val="No Spacing"/>
    <w:uiPriority w:val="1"/>
    <w:qFormat/>
    <w:rsid w:val="00c26e21"/>
    <w:pPr>
      <w:widowControl/>
      <w:bidi w:val="0"/>
      <w:spacing w:lineRule="auto" w:line="240" w:before="0" w:after="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4"/>
      <w:szCs w:val="22"/>
      <w:lang w:val="ru-RU" w:eastAsia="en-US" w:bidi="ar-SA"/>
    </w:rPr>
  </w:style>
  <w:style w:type="paragraph" w:styleId="NormalWeb">
    <w:name w:val="Normal (Web)"/>
    <w:basedOn w:val="Normal"/>
    <w:uiPriority w:val="99"/>
    <w:qFormat/>
    <w:rsid w:val="00c26e21"/>
    <w:pPr>
      <w:spacing w:beforeAutospacing="1" w:afterAutospacing="1"/>
    </w:pPr>
    <w:rPr/>
  </w:style>
  <w:style w:type="paragraph" w:styleId="BalloonText">
    <w:name w:val="Balloon Text"/>
    <w:basedOn w:val="Normal"/>
    <w:link w:val="a9"/>
    <w:uiPriority w:val="99"/>
    <w:semiHidden/>
    <w:unhideWhenUsed/>
    <w:qFormat/>
    <w:rsid w:val="00c26e21"/>
    <w:pPr/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a">
    <w:name w:val="Table Grid"/>
    <w:basedOn w:val="a1"/>
    <w:uiPriority w:val="59"/>
    <w:rsid w:val="00c26e2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Application>LibreOffice/6.4.2.2$Windows_X86_64 LibreOffice_project/4e471d8c02c9c90f512f7f9ead8875b57fcb1ec3</Application>
  <Pages>1</Pages>
  <Words>195</Words>
  <Characters>1281</Characters>
  <CharactersWithSpaces>1578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2020-01-30T03:54:00Z</dcterms:created>
  <dc:creator>Смыченко Лидия Михайловна</dc:creator>
  <dc:description/>
  <dc:language>ru-RU</dc:language>
  <cp:lastModifiedBy/>
  <cp:lastPrinted>2020-11-13T02:43:00Z</cp:lastPrinted>
  <dcterms:modified xsi:type="dcterms:W3CDTF">2020-11-23T14:23:27Z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