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left="1418" w:right="777" w:firstLine="709"/>
        <w:jc w:val="both"/>
        <w:rPr/>
      </w:pPr>
      <w:r>
        <w:rPr/>
      </w:r>
    </w:p>
    <w:tbl>
      <w:tblPr>
        <w:tblW w:w="9855"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445"/>
        <w:gridCol w:w="8409"/>
      </w:tblGrid>
      <w:tr>
        <w:trPr>
          <w:trHeight w:val="1519" w:hRule="atLeast"/>
        </w:trPr>
        <w:tc>
          <w:tcPr>
            <w:tcW w:w="1445" w:type="dxa"/>
            <w:tcBorders/>
          </w:tcPr>
          <w:p>
            <w:pPr>
              <w:pStyle w:val="Normal"/>
              <w:widowControl w:val="false"/>
              <w:spacing w:lineRule="auto" w:line="360"/>
              <w:jc w:val="both"/>
              <w:rPr>
                <w:rFonts w:ascii="Calibri" w:hAnsi="Calibri"/>
              </w:rPr>
            </w:pPr>
            <w:r>
              <w:rPr/>
              <w:drawing>
                <wp:inline distT="0" distB="0" distL="0" distR="0">
                  <wp:extent cx="885825" cy="790575"/>
                  <wp:effectExtent l="0" t="0" r="0" b="0"/>
                  <wp:docPr id="1" name="Рисунок 1" descr="пфр-п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пфр-пнг"/>
                          <pic:cNvPicPr>
                            <a:picLocks noChangeAspect="1" noChangeArrowheads="1"/>
                          </pic:cNvPicPr>
                        </pic:nvPicPr>
                        <pic:blipFill>
                          <a:blip r:embed="rId2"/>
                          <a:stretch>
                            <a:fillRect/>
                          </a:stretch>
                        </pic:blipFill>
                        <pic:spPr bwMode="auto">
                          <a:xfrm>
                            <a:off x="0" y="0"/>
                            <a:ext cx="885825" cy="790575"/>
                          </a:xfrm>
                          <a:prstGeom prst="rect">
                            <a:avLst/>
                          </a:prstGeom>
                        </pic:spPr>
                      </pic:pic>
                    </a:graphicData>
                  </a:graphic>
                </wp:inline>
              </w:drawing>
            </w:r>
          </w:p>
        </w:tc>
        <w:tc>
          <w:tcPr>
            <w:tcW w:w="8409" w:type="dxa"/>
            <w:tcBorders/>
          </w:tcPr>
          <w:p>
            <w:pPr>
              <w:pStyle w:val="Normal"/>
              <w:widowControl w:val="false"/>
              <w:ind w:right="-5" w:hanging="0"/>
              <w:jc w:val="center"/>
              <w:rPr>
                <w:b/>
                <w:b/>
                <w:i/>
                <w:i/>
              </w:rPr>
            </w:pPr>
            <w:r>
              <w:rPr>
                <w:b/>
                <w:i/>
              </w:rPr>
              <w:t xml:space="preserve">          </w:t>
            </w:r>
            <w:r>
              <w:rPr>
                <w:b/>
                <w:i/>
              </w:rPr>
              <w:t>ПЕНСИОННЫЙ ФОНД РОССИЙСКОЙ  ФЕДЕРАЦИИ</w:t>
            </w:r>
          </w:p>
          <w:p>
            <w:pPr>
              <w:pStyle w:val="Normal"/>
              <w:widowControl w:val="false"/>
              <w:ind w:right="-5" w:hanging="0"/>
              <w:jc w:val="both"/>
              <w:rPr/>
            </w:pPr>
            <w:r>
              <w:rPr/>
            </w:r>
          </w:p>
          <w:tbl>
            <w:tblPr>
              <w:tblW w:w="926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262"/>
            </w:tblGrid>
            <w:tr>
              <w:trPr>
                <w:trHeight w:val="468" w:hRule="atLeast"/>
              </w:trPr>
              <w:tc>
                <w:tcPr>
                  <w:tcW w:w="9262" w:type="dxa"/>
                  <w:tcBorders/>
                </w:tcPr>
                <w:p>
                  <w:pPr>
                    <w:pStyle w:val="Normal"/>
                    <w:widowControl w:val="false"/>
                    <w:ind w:right="-5" w:hanging="0"/>
                    <w:jc w:val="center"/>
                    <w:rPr>
                      <w:b/>
                      <w:b/>
                      <w:i/>
                      <w:i/>
                    </w:rPr>
                  </w:pPr>
                  <w:r>
                    <w:rPr>
                      <w:b/>
                      <w:i/>
                    </w:rPr>
                    <w:t xml:space="preserve">       </w:t>
                  </w:r>
                  <w:r>
                    <w:rPr>
                      <w:b/>
                      <w:i/>
                    </w:rPr>
                    <w:t>ГОСУДАРСТВЕННОЕ УЧРЕЖДЕНИЕ –</w:t>
                  </w:r>
                </w:p>
                <w:p>
                  <w:pPr>
                    <w:pStyle w:val="Normal"/>
                    <w:widowControl w:val="false"/>
                    <w:ind w:right="-5" w:hanging="0"/>
                    <w:jc w:val="center"/>
                    <w:rPr>
                      <w:b/>
                      <w:b/>
                      <w:i/>
                      <w:i/>
                    </w:rPr>
                  </w:pPr>
                  <w:r>
                    <w:rPr>
                      <w:b/>
                      <w:i/>
                    </w:rPr>
                    <w:t>ОТДЕЛЕНИЕ ПЕНСИОННОГО ФОНДА</w:t>
                  </w:r>
                </w:p>
                <w:p>
                  <w:pPr>
                    <w:pStyle w:val="Normal"/>
                    <w:widowControl w:val="false"/>
                    <w:ind w:right="-5" w:hanging="0"/>
                    <w:jc w:val="center"/>
                    <w:rPr>
                      <w:b/>
                      <w:b/>
                      <w:i/>
                      <w:i/>
                    </w:rPr>
                  </w:pPr>
                  <w:r>
                    <w:rPr>
                      <w:b/>
                      <w:i/>
                    </w:rPr>
                    <w:t>РОССИЙСКОЙ ФЕДЕРАЦИИ ПО ПРИМОРСКОМУ КРАЮ</w:t>
                  </w:r>
                </w:p>
                <w:p>
                  <w:pPr>
                    <w:pStyle w:val="Normal"/>
                    <w:widowControl w:val="false"/>
                    <w:ind w:right="-5" w:hanging="0"/>
                    <w:jc w:val="center"/>
                    <w:rPr/>
                  </w:pPr>
                  <w:r>
                    <w:rPr/>
                    <w:t>________________________________________________________________</w:t>
                  </w:r>
                </w:p>
              </w:tc>
            </w:tr>
          </w:tbl>
          <w:p>
            <w:pPr>
              <w:pStyle w:val="Normal"/>
              <w:widowControl w:val="false"/>
              <w:numPr>
                <w:ilvl w:val="0"/>
                <w:numId w:val="0"/>
              </w:numPr>
              <w:spacing w:beforeAutospacing="1" w:after="0"/>
              <w:outlineLvl w:val="2"/>
              <w:rPr>
                <w:rFonts w:ascii="Calibri" w:hAnsi="Calibri"/>
                <w:sz w:val="22"/>
                <w:szCs w:val="22"/>
              </w:rPr>
            </w:pPr>
            <w:r>
              <w:rPr>
                <w:rFonts w:ascii="Calibri" w:hAnsi="Calibri"/>
                <w:sz w:val="22"/>
                <w:szCs w:val="22"/>
              </w:rPr>
            </w:r>
          </w:p>
        </w:tc>
      </w:tr>
    </w:tbl>
    <w:p>
      <w:pPr>
        <w:pStyle w:val="NoSpacing"/>
        <w:rPr>
          <w:b/>
          <w:b/>
          <w:bCs/>
          <w:sz w:val="24"/>
          <w:szCs w:val="24"/>
        </w:rPr>
      </w:pPr>
      <w:r>
        <w:rPr>
          <w:b/>
          <w:bCs/>
          <w:sz w:val="24"/>
          <w:szCs w:val="24"/>
        </w:rPr>
      </w:r>
    </w:p>
    <w:p>
      <w:pPr>
        <w:pStyle w:val="1"/>
        <w:shd w:val="clear" w:color="auto" w:fill="FFFFFF"/>
        <w:spacing w:beforeAutospacing="0" w:before="0" w:after="280"/>
        <w:jc w:val="both"/>
        <w:rPr>
          <w:rFonts w:ascii="Calibri" w:hAnsi="Calibri" w:cs="Arial" w:asciiTheme="minorHAnsi" w:hAnsiTheme="minorHAnsi"/>
          <w:color w:val="212121"/>
          <w:spacing w:val="-8"/>
          <w:sz w:val="26"/>
          <w:szCs w:val="26"/>
        </w:rPr>
      </w:pPr>
      <w:r>
        <w:rPr>
          <w:rFonts w:cs="Arial" w:ascii="Calibri" w:hAnsi="Calibri" w:asciiTheme="minorHAnsi" w:hAnsiTheme="minorHAnsi"/>
          <w:color w:val="212121"/>
          <w:spacing w:val="-8"/>
          <w:sz w:val="26"/>
          <w:szCs w:val="26"/>
        </w:rPr>
        <w:t>900 пенсий по инвалидности назначено в беззаявительном порядке с начала года в Приморском крае</w:t>
      </w:r>
    </w:p>
    <w:p>
      <w:pPr>
        <w:pStyle w:val="NoSpacing"/>
        <w:spacing w:before="0" w:after="240"/>
        <w:jc w:val="both"/>
        <w:rPr>
          <w:rFonts w:ascii="Calibri" w:hAnsi="Calibri" w:asciiTheme="minorHAnsi" w:hAnsiTheme="minorHAnsi"/>
          <w:b/>
          <w:b/>
          <w:bCs/>
          <w:sz w:val="24"/>
          <w:szCs w:val="24"/>
        </w:rPr>
      </w:pPr>
      <w:r>
        <w:rPr>
          <w:rFonts w:asciiTheme="minorHAnsi" w:hAnsiTheme="minorHAnsi"/>
          <w:b/>
          <w:bCs/>
          <w:sz w:val="24"/>
          <w:szCs w:val="24"/>
        </w:rPr>
        <w:t>26 мая 2022 г., г. Владивосток</w:t>
      </w:r>
    </w:p>
    <w:p>
      <w:pPr>
        <w:pStyle w:val="NoSpacing"/>
        <w:jc w:val="both"/>
        <w:rPr>
          <w:rFonts w:ascii="Calibri" w:hAnsi="Calibri" w:asciiTheme="minorHAnsi" w:hAnsiTheme="minorHAnsi"/>
          <w:b/>
          <w:b/>
          <w:bCs/>
          <w:sz w:val="24"/>
          <w:szCs w:val="24"/>
        </w:rPr>
      </w:pPr>
      <w:r>
        <w:rPr>
          <w:rFonts w:asciiTheme="minorHAnsi" w:hAnsiTheme="minorHAnsi"/>
          <w:b/>
          <w:bCs/>
          <w:sz w:val="24"/>
          <w:szCs w:val="24"/>
        </w:rPr>
      </w:r>
    </w:p>
    <w:p>
      <w:pPr>
        <w:pStyle w:val="NormalWeb"/>
        <w:shd w:val="clear" w:color="auto" w:fill="FFFFFF"/>
        <w:spacing w:beforeAutospacing="0" w:before="0" w:after="280"/>
        <w:jc w:val="both"/>
        <w:rPr>
          <w:rFonts w:ascii="Calibri" w:hAnsi="Calibri" w:cs="Arial" w:asciiTheme="minorHAnsi" w:hAnsiTheme="minorHAnsi"/>
          <w:color w:val="212121"/>
          <w:spacing w:val="-5"/>
        </w:rPr>
      </w:pPr>
      <w:r>
        <w:rPr>
          <w:rFonts w:cs="Arial" w:ascii="Calibri" w:hAnsi="Calibri" w:asciiTheme="minorHAnsi" w:hAnsiTheme="minorHAnsi"/>
          <w:color w:val="212121"/>
          <w:spacing w:val="-5"/>
        </w:rPr>
        <w:t>С этого года начало действовать беззаявительное оформление страховых и социальных пенсий по инвалидности. Теперь они назначаются по данным Федерального реестра инвалидов без дополнительных подтверждающих документов. С января выплаты в таком проактивном формате получили 900 инвалидов в Приморском крае.</w:t>
      </w:r>
    </w:p>
    <w:p>
      <w:pPr>
        <w:pStyle w:val="NormalWeb"/>
        <w:shd w:val="clear" w:color="auto" w:fill="FFFFFF"/>
        <w:spacing w:beforeAutospacing="0" w:before="0" w:after="280"/>
        <w:jc w:val="both"/>
        <w:rPr>
          <w:rFonts w:ascii="Calibri" w:hAnsi="Calibri" w:cs="Arial" w:asciiTheme="minorHAnsi" w:hAnsiTheme="minorHAnsi"/>
          <w:color w:val="212121"/>
          <w:spacing w:val="-5"/>
        </w:rPr>
      </w:pPr>
      <w:r>
        <w:rPr>
          <w:rFonts w:cs="Arial" w:ascii="Calibri" w:hAnsi="Calibri" w:asciiTheme="minorHAnsi" w:hAnsiTheme="minorHAnsi"/>
          <w:color w:val="212121"/>
          <w:spacing w:val="-5"/>
        </w:rPr>
        <w:t>Решение о назначении страховой или социальной пенсии принимается не позднее 5 рабочих дней со дня поступления в Пенсионный фонд информации об инвалидности. После вынесения решения о назначении пенсии Пенсионный фонд в течение 3 рабочих дней извещает об этом инвалида и направляет ему уведомление в личный кабинет на портале госуслуг или по почте, если учетной записи на портале нет.</w:t>
      </w:r>
    </w:p>
    <w:p>
      <w:pPr>
        <w:pStyle w:val="NormalWeb"/>
        <w:shd w:val="clear" w:color="auto" w:fill="FFFFFF"/>
        <w:spacing w:beforeAutospacing="0" w:before="0" w:after="280"/>
        <w:jc w:val="both"/>
        <w:rPr>
          <w:rFonts w:ascii="Calibri" w:hAnsi="Calibri" w:cs="Arial" w:asciiTheme="minorHAnsi" w:hAnsiTheme="minorHAnsi"/>
          <w:color w:val="212121"/>
          <w:spacing w:val="-5"/>
        </w:rPr>
      </w:pPr>
      <w:r>
        <w:rPr>
          <w:rFonts w:cs="Arial" w:ascii="Calibri" w:hAnsi="Calibri" w:asciiTheme="minorHAnsi" w:hAnsiTheme="minorHAnsi"/>
          <w:color w:val="212121"/>
          <w:spacing w:val="-5"/>
        </w:rPr>
        <w:t>После назначения пенсии она выплачивается тем же способом, что и другие выплаты Пенсионного фонда. Если раньше инвалид не получал никаких выплат, он может определить способ доставки пенсии онлайн через личный кабинет на портале госуслуг или на сайте фонда. Заявление также принимается в клиентских службах ПФР и в многофункциональных центрах.</w:t>
      </w:r>
    </w:p>
    <w:p>
      <w:pPr>
        <w:pStyle w:val="NormalWeb"/>
        <w:shd w:val="clear" w:color="auto" w:fill="FFFFFF"/>
        <w:spacing w:beforeAutospacing="0" w:before="0" w:after="280"/>
        <w:jc w:val="both"/>
        <w:rPr>
          <w:rFonts w:ascii="Calibri" w:hAnsi="Calibri" w:cs="Arial" w:asciiTheme="minorHAnsi" w:hAnsiTheme="minorHAnsi"/>
          <w:color w:val="212121"/>
          <w:spacing w:val="-5"/>
        </w:rPr>
      </w:pPr>
      <w:r>
        <w:rPr>
          <w:rFonts w:cs="Arial" w:ascii="Calibri" w:hAnsi="Calibri" w:asciiTheme="minorHAnsi" w:hAnsiTheme="minorHAnsi"/>
          <w:color w:val="212121"/>
          <w:spacing w:val="-5"/>
        </w:rPr>
        <w:t>Предоставление госуслуг в проактивном формате, без личного обращения с заявлением и документами, осуществляется в рамках социального казначейства, цель которого – ускорить процесс назначения мер социальной поддержки и отказаться от сбора справок.</w:t>
      </w:r>
    </w:p>
    <w:p>
      <w:pPr>
        <w:pStyle w:val="NormalWeb"/>
        <w:shd w:val="clear" w:color="auto" w:fill="FFFFFF"/>
        <w:spacing w:beforeAutospacing="0" w:before="0" w:after="280"/>
        <w:jc w:val="both"/>
        <w:rPr>
          <w:rFonts w:ascii="Calibri" w:hAnsi="Calibri" w:cs="Arial" w:asciiTheme="minorHAnsi" w:hAnsiTheme="minorHAnsi"/>
          <w:color w:val="212121"/>
          <w:spacing w:val="-5"/>
        </w:rPr>
      </w:pPr>
      <w:r>
        <w:rPr>
          <w:rFonts w:cs="Arial" w:ascii="Calibri" w:hAnsi="Calibri"/>
          <w:color w:val="212121"/>
          <w:spacing w:val="-5"/>
        </w:rPr>
      </w:r>
    </w:p>
    <w:p>
      <w:pPr>
        <w:pStyle w:val="NoSpacing"/>
        <w:jc w:val="both"/>
        <w:rPr>
          <w:rFonts w:ascii="Calibri" w:hAnsi="Calibri" w:asciiTheme="minorHAnsi" w:hAnsiTheme="minorHAnsi"/>
          <w:b/>
          <w:b/>
          <w:bCs/>
          <w:sz w:val="36"/>
          <w:szCs w:val="36"/>
        </w:rPr>
      </w:pPr>
      <w:r>
        <w:rPr>
          <w:rFonts w:asciiTheme="minorHAnsi" w:hAnsiTheme="minorHAnsi"/>
          <w:b/>
          <w:bCs/>
          <w:sz w:val="36"/>
          <w:szCs w:val="36"/>
        </w:rPr>
      </w:r>
    </w:p>
    <w:p>
      <w:pPr>
        <w:pStyle w:val="NoSpacing"/>
        <w:jc w:val="both"/>
        <w:rPr>
          <w:rFonts w:ascii="Calibri" w:hAnsi="Calibri" w:asciiTheme="minorHAnsi" w:hAnsiTheme="minorHAnsi"/>
          <w:b/>
          <w:b/>
          <w:bCs/>
          <w:sz w:val="36"/>
          <w:szCs w:val="36"/>
        </w:rPr>
      </w:pPr>
      <w:r>
        <w:rPr>
          <w:rFonts w:asciiTheme="minorHAnsi" w:hAnsiTheme="minorHAnsi"/>
          <w:b/>
          <w:bCs/>
          <w:sz w:val="36"/>
          <w:szCs w:val="36"/>
        </w:rPr>
      </w:r>
    </w:p>
    <w:p>
      <w:pPr>
        <w:pStyle w:val="NoSpacing"/>
        <w:jc w:val="both"/>
        <w:rPr>
          <w:rFonts w:ascii="Calibri" w:hAnsi="Calibri" w:asciiTheme="minorHAnsi" w:hAnsiTheme="minorHAnsi"/>
          <w:b/>
          <w:b/>
          <w:bCs/>
          <w:sz w:val="36"/>
          <w:szCs w:val="36"/>
        </w:rPr>
      </w:pPr>
      <w:r>
        <w:rPr>
          <w:rFonts w:asciiTheme="minorHAnsi" w:hAnsiTheme="minorHAnsi"/>
          <w:b/>
          <w:bCs/>
          <w:sz w:val="36"/>
          <w:szCs w:val="36"/>
        </w:rPr>
      </w:r>
    </w:p>
    <w:p>
      <w:pPr>
        <w:pStyle w:val="NoSpacing"/>
        <w:jc w:val="both"/>
        <w:rPr>
          <w:rFonts w:ascii="Calibri" w:hAnsi="Calibri" w:asciiTheme="minorHAnsi" w:hAnsiTheme="minorHAnsi"/>
          <w:b/>
          <w:b/>
          <w:bCs/>
          <w:sz w:val="36"/>
          <w:szCs w:val="36"/>
        </w:rPr>
      </w:pPr>
      <w:r>
        <w:rPr>
          <w:rFonts w:asciiTheme="minorHAnsi" w:hAnsiTheme="minorHAnsi"/>
          <w:b/>
          <w:bCs/>
          <w:sz w:val="36"/>
          <w:szCs w:val="36"/>
        </w:rPr>
      </w:r>
      <w:bookmarkStart w:id="0" w:name="_GoBack"/>
      <w:bookmarkStart w:id="1" w:name="_GoBack"/>
      <w:bookmarkEnd w:id="1"/>
    </w:p>
    <w:p>
      <w:pPr>
        <w:pStyle w:val="NoSpacing"/>
        <w:jc w:val="right"/>
        <w:rPr>
          <w:b/>
          <w:b/>
          <w:bCs/>
          <w:sz w:val="36"/>
          <w:szCs w:val="36"/>
        </w:rPr>
      </w:pPr>
      <w:r>
        <w:rPr>
          <w:b/>
          <w:bCs/>
          <w:sz w:val="36"/>
          <w:szCs w:val="36"/>
        </w:rPr>
      </w:r>
    </w:p>
    <w:p>
      <w:pPr>
        <w:pStyle w:val="NoSpacing"/>
        <w:jc w:val="right"/>
        <w:rPr>
          <w:b/>
          <w:b/>
          <w:bCs/>
          <w:sz w:val="36"/>
          <w:szCs w:val="36"/>
        </w:rPr>
      </w:pPr>
      <w:r>
        <w:rPr>
          <w:b/>
          <w:bCs/>
          <w:sz w:val="36"/>
          <w:szCs w:val="36"/>
        </w:rPr>
      </w:r>
    </w:p>
    <w:p>
      <w:pPr>
        <w:pStyle w:val="NoSpacing"/>
        <w:jc w:val="right"/>
        <w:rPr/>
      </w:pPr>
      <w:r>
        <w:rPr>
          <w:b/>
          <w:bCs/>
          <w:sz w:val="36"/>
          <w:szCs w:val="36"/>
        </w:rPr>
        <w:t xml:space="preserve">  </w:t>
      </w:r>
      <w:r>
        <w:rPr/>
        <w:t>Лидия Смыченко,</w:t>
      </w:r>
    </w:p>
    <w:p>
      <w:pPr>
        <w:pStyle w:val="NoSpacing"/>
        <w:jc w:val="right"/>
        <w:rPr/>
      </w:pPr>
      <w:r>
        <w:rPr/>
        <w:t xml:space="preserve"> </w:t>
      </w:r>
      <w:r>
        <w:rPr/>
        <w:t>руководитель пресс-службы Отделения ПФР</w:t>
      </w:r>
    </w:p>
    <w:p>
      <w:pPr>
        <w:pStyle w:val="NoSpacing"/>
        <w:jc w:val="right"/>
        <w:rPr/>
      </w:pPr>
      <w:r>
        <w:rPr/>
        <w:t xml:space="preserve"> </w:t>
      </w:r>
      <w:r>
        <w:rPr/>
        <w:t>по Приморскому краю</w:t>
      </w:r>
    </w:p>
    <w:p>
      <w:pPr>
        <w:pStyle w:val="NoSpacing"/>
        <w:jc w:val="right"/>
        <w:rPr/>
      </w:pPr>
      <w:r>
        <w:rPr>
          <w:lang w:val="en-US"/>
        </w:rPr>
        <w:t>e</w:t>
      </w:r>
      <w:r>
        <w:rPr/>
        <w:t>-</w:t>
      </w:r>
      <w:r>
        <w:rPr>
          <w:lang w:val="en-US"/>
        </w:rPr>
        <w:t>mail</w:t>
      </w:r>
      <w:r>
        <w:rPr/>
        <w:t xml:space="preserve">: </w:t>
      </w:r>
      <w:hyperlink r:id="rId3">
        <w:r>
          <w:rPr/>
          <w:t>2901@035.</w:t>
        </w:r>
        <w:r>
          <w:rPr>
            <w:lang w:val="en-US"/>
          </w:rPr>
          <w:t>pfr</w:t>
        </w:r>
        <w:r>
          <w:rPr/>
          <w:t>.</w:t>
        </w:r>
        <w:r>
          <w:rPr>
            <w:lang w:val="en-US"/>
          </w:rPr>
          <w:t>gov</w:t>
        </w:r>
        <w:r>
          <w:rPr/>
          <w:t>.</w:t>
        </w:r>
        <w:r>
          <w:rPr>
            <w:lang w:val="en-US"/>
          </w:rPr>
          <w:t>ru</w:t>
        </w:r>
      </w:hyperlink>
    </w:p>
    <w:p>
      <w:pPr>
        <w:pStyle w:val="Normal"/>
        <w:ind w:firstLine="709"/>
        <w:jc w:val="both"/>
        <w:rPr/>
      </w:pPr>
      <w:r>
        <w:rPr/>
      </w:r>
    </w:p>
    <w:p>
      <w:pPr>
        <w:pStyle w:val="NoSpacing"/>
        <w:rPr>
          <w:b/>
          <w:b/>
          <w:bCs/>
          <w:sz w:val="24"/>
          <w:szCs w:val="24"/>
        </w:rPr>
      </w:pPr>
      <w:r>
        <w:rPr/>
      </w:r>
    </w:p>
    <w:sectPr>
      <w:type w:val="nextPage"/>
      <w:pgSz w:w="11906" w:h="16838"/>
      <w:pgMar w:left="1418" w:right="849" w:header="0" w:top="540"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
    <w:qFormat/>
    <w:rsid w:val="00111fdb"/>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Strong">
    <w:name w:val="Strong"/>
    <w:uiPriority w:val="22"/>
    <w:qFormat/>
    <w:rsid w:val="001c51b8"/>
    <w:rPr>
      <w:b/>
      <w:bCs/>
    </w:rPr>
  </w:style>
  <w:style w:type="character" w:styleId="Style13">
    <w:name w:val="Интернет-ссылка"/>
    <w:uiPriority w:val="99"/>
    <w:unhideWhenUsed/>
    <w:rsid w:val="001c51b8"/>
    <w:rPr>
      <w:color w:val="0000FF"/>
      <w:u w:val="single"/>
    </w:rPr>
  </w:style>
  <w:style w:type="character" w:styleId="11" w:customStyle="1">
    <w:name w:val="Заголовок 1 Знак"/>
    <w:link w:val="1"/>
    <w:uiPriority w:val="9"/>
    <w:qFormat/>
    <w:rsid w:val="00111fdb"/>
    <w:rPr>
      <w:b/>
      <w:bCs/>
      <w:kern w:val="2"/>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unhideWhenUsed/>
    <w:qFormat/>
    <w:rsid w:val="001c51b8"/>
    <w:pPr>
      <w:spacing w:beforeAutospacing="1" w:afterAutospacing="1"/>
    </w:pPr>
    <w:rPr/>
  </w:style>
  <w:style w:type="paragraph" w:styleId="NoSpacing">
    <w:name w:val="No Spacing"/>
    <w:uiPriority w:val="1"/>
    <w:qFormat/>
    <w:rsid w:val="00dd2eb9"/>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2901@035.pfr.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 LibreOffice_project/dcf040e67528d9187c66b2379df5ea4407429775</Application>
  <AppVersion>15.0000</AppVersion>
  <Pages>1</Pages>
  <Words>221</Words>
  <Characters>1483</Characters>
  <CharactersWithSpaces>1713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2022-05-26T02:13:00Z</dcterms:created>
  <dc:creator>14051</dc:creator>
  <dc:description/>
  <dc:language>ru-RU</dc:language>
  <cp:lastModifiedBy>Родионова Елена Геннадьевна</cp:lastModifiedBy>
  <cp:lastPrinted>2022-05-27T12:53:03Z</cp:lastPrinted>
  <dcterms:modified xsi:type="dcterms:W3CDTF">2022-05-26T02:13:00Z</dcterms:modified>
  <cp:revision>2</cp:revision>
  <dc:subject/>
  <dc:title>ВНИМАНИЮ</dc:title>
</cp:coreProperties>
</file>

<file path=docProps/custom.xml><?xml version="1.0" encoding="utf-8"?>
<Properties xmlns="http://schemas.openxmlformats.org/officeDocument/2006/custom-properties" xmlns:vt="http://schemas.openxmlformats.org/officeDocument/2006/docPropsVTypes"/>
</file>