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Style w:val="aa"/>
        <w:tblW w:w="10077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76"/>
        <w:gridCol w:w="7701"/>
      </w:tblGrid>
      <w:tr>
        <w:trPr>
          <w:trHeight w:val="1845" w:hRule="atLeast"/>
        </w:trPr>
        <w:tc>
          <w:tcPr>
            <w:tcW w:w="237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rPr/>
            </w:pPr>
            <w:r>
              <w:rPr/>
              <w:drawing>
                <wp:anchor behindDoc="1" distT="0" distB="0" distL="0" distR="0" simplePos="0" locked="0" layoutInCell="1" allowOverlap="1" relativeHeight="2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21590</wp:posOffset>
                  </wp:positionV>
                  <wp:extent cx="1101725" cy="1112520"/>
                  <wp:effectExtent l="0" t="0" r="0" b="0"/>
                  <wp:wrapNone/>
                  <wp:docPr id="1" name="Рисунок 1" descr="C:\С диска F\Мои документы1\30 лет ПФР\LOGO  по частям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С диска F\Мои документы1\30 лет ПФР\LOGO  по частям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725" cy="111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7701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spacing w:lineRule="auto" w:line="276"/>
              <w:ind w:right="-5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 xml:space="preserve">      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ГОСУДАРСТВЕННОЕ УЧРЕЖДЕНИЕ – 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УПРАВ</w:t>
            </w:r>
            <w:r>
              <w:rPr>
                <w:b/>
              </w:rPr>
              <w:t>ЛЕНИЕ ПЕНСИОННОГО ФОНДА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РОССИЙСКОЙ ФЕДЕРАЦИИ ПО </w:t>
            </w:r>
            <w:r>
              <w:rPr>
                <w:b/>
              </w:rPr>
              <w:t xml:space="preserve">ЧУГУЕВСКОМУ РАЙОНУ </w:t>
            </w:r>
            <w:r>
              <w:rPr>
                <w:b/>
              </w:rPr>
              <w:t>ПРИМОРСКО</w:t>
            </w:r>
            <w:r>
              <w:rPr>
                <w:b/>
              </w:rPr>
              <w:t>ГО</w:t>
            </w:r>
            <w:r>
              <w:rPr>
                <w:b/>
              </w:rPr>
              <w:t xml:space="preserve"> КРА</w:t>
            </w:r>
            <w:r>
              <w:rPr>
                <w:b/>
              </w:rPr>
              <w:t>Я</w:t>
            </w:r>
          </w:p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Web"/>
        <w:spacing w:before="280" w:after="280"/>
        <w:rPr>
          <w:rFonts w:ascii="Calibri" w:hAnsi="Calibri" w:asciiTheme="minorHAnsi" w:hAnsiTheme="minorHAnsi"/>
          <w:b/>
          <w:b/>
        </w:rPr>
      </w:pPr>
      <w:r>
        <w:rPr>
          <w:rFonts w:ascii="Times New Roman" w:hAnsi="Times New Roman"/>
          <w:b/>
          <w:sz w:val="26"/>
          <w:szCs w:val="26"/>
        </w:rPr>
        <w:t>Заявление на распоряжение средствами МСК можно подать в банке</w:t>
      </w:r>
    </w:p>
    <w:p>
      <w:pPr>
        <w:pStyle w:val="NormalWeb"/>
        <w:spacing w:before="280" w:after="280"/>
        <w:rPr>
          <w:rFonts w:ascii="Calibri" w:hAnsi="Calibri" w:asciiTheme="minorHAnsi" w:hAnsiTheme="minorHAnsi"/>
          <w:b/>
          <w:b/>
        </w:rPr>
      </w:pPr>
      <w:r>
        <w:rPr>
          <w:rFonts w:ascii="Times New Roman" w:hAnsi="Times New Roman"/>
          <w:b/>
          <w:sz w:val="26"/>
          <w:szCs w:val="26"/>
        </w:rPr>
        <w:t>12</w:t>
      </w:r>
      <w:r>
        <w:rPr>
          <w:rFonts w:ascii="Times New Roman" w:hAnsi="Times New Roman"/>
          <w:b/>
          <w:sz w:val="26"/>
          <w:szCs w:val="26"/>
        </w:rPr>
        <w:t xml:space="preserve"> октября 2020. </w:t>
      </w:r>
      <w:r>
        <w:rPr>
          <w:rFonts w:eastAsia="Times New Roman" w:cs="Times New Roman" w:ascii="Times New Roman" w:hAnsi="Times New Roman"/>
          <w:b/>
          <w:sz w:val="26"/>
          <w:szCs w:val="26"/>
          <w:lang w:eastAsia="ru-RU"/>
        </w:rPr>
        <w:t>с. Чугуевка</w:t>
      </w:r>
    </w:p>
    <w:p>
      <w:pPr>
        <w:pStyle w:val="NormalWeb"/>
        <w:spacing w:lineRule="auto" w:line="276" w:before="280" w:after="280"/>
        <w:jc w:val="both"/>
        <w:rPr>
          <w:rFonts w:ascii="Calibri" w:hAnsi="Calibri" w:asciiTheme="minorHAnsi" w:hAnsiTheme="minorHAnsi"/>
        </w:rPr>
      </w:pPr>
      <w:r>
        <w:rPr>
          <w:rFonts w:ascii="Times New Roman" w:hAnsi="Times New Roman"/>
          <w:sz w:val="26"/>
          <w:szCs w:val="26"/>
        </w:rPr>
        <w:t xml:space="preserve">В настоящее время 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с</w:t>
      </w:r>
      <w:r>
        <w:rPr>
          <w:rFonts w:ascii="Times New Roman" w:hAnsi="Times New Roman"/>
          <w:sz w:val="26"/>
          <w:szCs w:val="26"/>
        </w:rPr>
        <w:t>тало легче распорядиться средствами материнского (семейного) капитала (МСК) на самое востребованное направление программы - оплату ипотеки или займа на улучшение жилищных условий. Для этого можно сразу обратиться в банк, где вместе с оформлением кредита одновременно подается заявление о погашении средствами МСК долга и процентов по кредиту либо уплате первого взноса.</w:t>
      </w:r>
    </w:p>
    <w:p>
      <w:pPr>
        <w:pStyle w:val="NormalWeb"/>
        <w:spacing w:lineRule="auto" w:line="276" w:before="280" w:after="280"/>
        <w:jc w:val="both"/>
        <w:rPr>
          <w:rFonts w:ascii="Calibri" w:hAnsi="Calibri" w:asciiTheme="minorHAnsi" w:hAnsiTheme="minorHAnsi"/>
        </w:rPr>
      </w:pPr>
      <w:r>
        <w:rPr>
          <w:rFonts w:ascii="Times New Roman" w:hAnsi="Times New Roman"/>
          <w:sz w:val="26"/>
          <w:szCs w:val="26"/>
        </w:rPr>
        <w:t>Таким образом,  вместо двух обращений – и в банк, и в ПФР – семье достаточно обратиться только в кредитное учреждение, где одновременно оформляется кредитный договор и подается заявление на погашение кредита средствами материнского капитала.</w:t>
      </w:r>
    </w:p>
    <w:p>
      <w:pPr>
        <w:pStyle w:val="NormalWeb"/>
        <w:spacing w:lineRule="auto" w:line="276" w:before="280" w:after="280"/>
        <w:jc w:val="both"/>
        <w:rPr>
          <w:rFonts w:ascii="Calibri" w:hAnsi="Calibri" w:asciiTheme="minorHAnsi" w:hAnsiTheme="minorHAnsi"/>
        </w:rPr>
      </w:pPr>
      <w:r>
        <w:rPr>
          <w:rFonts w:ascii="Times New Roman" w:hAnsi="Times New Roman"/>
          <w:sz w:val="26"/>
          <w:szCs w:val="26"/>
        </w:rPr>
        <w:t>После одобрения кредита банк направляет заявление и необходимые документы в ПФР, затем Пенсионный фонд перечисляет материнский капитал на счет продавца или застройщика жилья.</w:t>
      </w:r>
    </w:p>
    <w:p>
      <w:pPr>
        <w:pStyle w:val="NormalWeb"/>
        <w:spacing w:lineRule="auto" w:line="276" w:before="280" w:after="280"/>
        <w:jc w:val="both"/>
        <w:rPr>
          <w:rFonts w:ascii="Calibri" w:hAnsi="Calibri" w:asciiTheme="minorHAnsi" w:hAnsiTheme="minorHAnsi"/>
        </w:rPr>
      </w:pPr>
      <w:r>
        <w:rPr>
          <w:rFonts w:ascii="Times New Roman" w:hAnsi="Times New Roman"/>
          <w:sz w:val="26"/>
          <w:szCs w:val="26"/>
        </w:rPr>
        <w:t>Данная услуга стала возможной  благодаря заключенным соглашениям между ПФР и кредитными организациями. В Приморском  крае  такие соглашения заключены с региональными отделениями Сбербанка России, Банка ВТБ, Россельхозбанка, МТС-Банка, Газпромбанка, а также с Примсоцбанком,  Банком «Приморье», банком «Дальневосточный» и «Альфа-Банком».</w:t>
      </w:r>
    </w:p>
    <w:p>
      <w:pPr>
        <w:pStyle w:val="NormalWeb"/>
        <w:spacing w:lineRule="auto" w:line="276" w:before="280" w:after="280"/>
        <w:jc w:val="both"/>
        <w:rPr>
          <w:rFonts w:ascii="Calibri" w:hAnsi="Calibri" w:asciiTheme="minorHAnsi" w:hAnsiTheme="minorHAnsi"/>
        </w:rPr>
      </w:pPr>
      <w:r>
        <w:rPr>
          <w:rFonts w:asciiTheme="minorHAnsi" w:hAnsiTheme="minorHAnsi" w:ascii="Times New Roman" w:hAnsi="Times New Roman"/>
          <w:sz w:val="26"/>
          <w:szCs w:val="26"/>
        </w:rPr>
      </w:r>
    </w:p>
    <w:p>
      <w:pPr>
        <w:pStyle w:val="NormalWeb"/>
        <w:spacing w:before="280" w:after="280"/>
        <w:rPr/>
      </w:pPr>
      <w:r>
        <w:rPr/>
      </w:r>
    </w:p>
    <w:p>
      <w:pPr>
        <w:pStyle w:val="Normal"/>
        <w:rPr/>
      </w:pPr>
      <w:bookmarkStart w:id="0" w:name="_GoBack"/>
      <w:bookmarkEnd w:id="0"/>
      <w:r>
        <w:rPr/>
        <w:t xml:space="preserve"> </w:t>
      </w:r>
    </w:p>
    <w:sectPr>
      <w:type w:val="nextPage"/>
      <w:pgSz w:w="11906" w:h="16838"/>
      <w:pgMar w:left="1214" w:right="656" w:header="0" w:top="426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26e2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sid w:val="00c26e21"/>
    <w:rPr>
      <w:color w:val="0000FF"/>
      <w:u w:val="single"/>
    </w:rPr>
  </w:style>
  <w:style w:type="character" w:styleId="Strong">
    <w:name w:val="Strong"/>
    <w:uiPriority w:val="22"/>
    <w:qFormat/>
    <w:rsid w:val="00c26e21"/>
    <w:rPr>
      <w:b/>
      <w:bCs/>
    </w:rPr>
  </w:style>
  <w:style w:type="character" w:styleId="Style15">
    <w:name w:val="Выделение"/>
    <w:uiPriority w:val="20"/>
    <w:qFormat/>
    <w:rsid w:val="00c26e21"/>
    <w:rPr>
      <w:i/>
      <w:iCs/>
    </w:rPr>
  </w:style>
  <w:style w:type="character" w:styleId="Style16" w:customStyle="1">
    <w:name w:val="Текст выноски Знак"/>
    <w:basedOn w:val="DefaultParagraphFont"/>
    <w:link w:val="a8"/>
    <w:uiPriority w:val="99"/>
    <w:semiHidden/>
    <w:qFormat/>
    <w:rsid w:val="00c26e21"/>
    <w:rPr>
      <w:rFonts w:ascii="Tahoma" w:hAnsi="Tahoma" w:eastAsia="Times New Roman" w:cs="Tahoma"/>
      <w:sz w:val="16"/>
      <w:szCs w:val="16"/>
      <w:lang w:eastAsia="ru-RU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c26e21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4"/>
      <w:szCs w:val="22"/>
      <w:lang w:val="ru-RU" w:eastAsia="en-US" w:bidi="ar-SA"/>
    </w:rPr>
  </w:style>
  <w:style w:type="paragraph" w:styleId="NormalWeb">
    <w:name w:val="Normal (Web)"/>
    <w:basedOn w:val="Normal"/>
    <w:uiPriority w:val="99"/>
    <w:qFormat/>
    <w:rsid w:val="00c26e21"/>
    <w:pPr>
      <w:spacing w:beforeAutospacing="1" w:afterAutospacing="1"/>
    </w:pPr>
    <w:rPr/>
  </w:style>
  <w:style w:type="paragraph" w:styleId="BalloonText">
    <w:name w:val="Balloon Text"/>
    <w:basedOn w:val="Normal"/>
    <w:link w:val="a9"/>
    <w:uiPriority w:val="99"/>
    <w:semiHidden/>
    <w:unhideWhenUsed/>
    <w:qFormat/>
    <w:rsid w:val="00c26e21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c26e2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LibreOffice/6.4.2.2$Windows_X86_64 LibreOffice_project/4e471d8c02c9c90f512f7f9ead8875b57fcb1ec3</Application>
  <Pages>1</Pages>
  <Words>172</Words>
  <Characters>1172</Characters>
  <CharactersWithSpaces>1352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2020-10-06T00:56:00Z</dcterms:created>
  <dc:creator>Смыченко Лидия Михайловна</dc:creator>
  <dc:description/>
  <dc:language>ru-RU</dc:language>
  <cp:lastModifiedBy/>
  <dcterms:modified xsi:type="dcterms:W3CDTF">2020-10-12T15:05:36Z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