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/>
      </w:pPr>
      <w:r>
        <w:rPr/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45"/>
        <w:gridCol w:w="8409"/>
      </w:tblGrid>
      <w:tr>
        <w:trPr>
          <w:trHeight w:val="1519" w:hRule="atLeast"/>
        </w:trPr>
        <w:tc>
          <w:tcPr>
            <w:tcW w:w="1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tcBorders/>
          </w:tcPr>
          <w:p>
            <w:pPr>
              <w:pStyle w:val="Normal"/>
              <w:widowControl w:val="false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ind w:right="-5" w:hanging="0"/>
              <w:jc w:val="both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ОТДЕЛЕНИЕ ПЕНСИОННОГО ФОНДА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РОССИЙСКОЙ ФЕДЕРАЦИИ ПО ПРИМОРСКОМУ КРАЮ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before="0" w:after="240"/>
        <w:jc w:val="both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Приморские пенсионеры осваивают финансовую грамотность </w:t>
      </w:r>
    </w:p>
    <w:p>
      <w:pPr>
        <w:pStyle w:val="NoSpacing"/>
        <w:spacing w:before="0" w:after="240"/>
        <w:jc w:val="both"/>
        <w:rPr>
          <w:rFonts w:ascii="Calibri" w:hAnsi="Calibri"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25</w:t>
      </w:r>
      <w:bookmarkStart w:id="0" w:name="_GoBack"/>
      <w:bookmarkEnd w:id="0"/>
      <w:r>
        <w:rPr>
          <w:rFonts w:asciiTheme="minorHAnsi" w:hAnsiTheme="minorHAnsi"/>
          <w:bCs/>
          <w:sz w:val="24"/>
          <w:szCs w:val="24"/>
        </w:rPr>
        <w:t xml:space="preserve"> ноября 2022 г., г. Владивосток</w:t>
      </w:r>
    </w:p>
    <w:p>
      <w:pPr>
        <w:pStyle w:val="NoSpacing"/>
        <w:spacing w:before="0" w:after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Отделение ПФР по Приморскому краю совместно с Дальневосточным ГУ Банка России проводит онлайн-занятия по финансовой грамотности для пенсионеров</w:t>
      </w:r>
    </w:p>
    <w:p>
      <w:pPr>
        <w:pStyle w:val="NoSpacing"/>
        <w:spacing w:before="0" w:after="240"/>
        <w:jc w:val="both"/>
        <w:rPr>
          <w:rFonts w:ascii="Calibri" w:hAnsi="Calibri"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Более 300 пенсионеров Приморского края примут участие в осенней сессии проекта Банка России «Онлайн-занятия по финансовой грамотности для старшего поколения», которая продлится до 16 декабря 2022г. В рамках реализации проекта на площадках Отделения ПФР по Приморскому краю организовано обучение для пенсионеров и предпенсионеров по теме: «Финансовое мошенничество. Защити себя и свою семью». Группы слушателей сформированы, прежде всего, из тех желающих, у кого нет  технической возможности самостоятельно пройти обучение.</w:t>
      </w:r>
    </w:p>
    <w:p>
      <w:pPr>
        <w:pStyle w:val="NoSpacing"/>
        <w:spacing w:before="0" w:after="240"/>
        <w:jc w:val="both"/>
        <w:rPr>
          <w:rFonts w:ascii="Calibri" w:hAnsi="Calibri" w:cs="Tms Rmn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Данная работа проводится в соответствии с Соглашением о сотрудничестве в области повышения финансовой грамотности населения Российской Федерации между Пенсионным фондом и Центральным банком Российской Федерации и нацелена на защиту от мошенников  людей старшего возраста, повышение их информированности о правилах финансовой безопасности. </w:t>
      </w:r>
      <w:r>
        <w:rPr>
          <w:rFonts w:cs="Tms Rmn"/>
          <w:color w:val="000000"/>
          <w:sz w:val="24"/>
          <w:szCs w:val="24"/>
        </w:rPr>
        <w:t>Участники мероприятия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 xml:space="preserve">получают представление о технологиях и психологических приемах, которые применяют мошенники, и учатся противостоять им с помощью конкретного алгоритма действий и правильной модели поведения. </w:t>
      </w:r>
    </w:p>
    <w:p>
      <w:pPr>
        <w:pStyle w:val="NoSpacing"/>
        <w:spacing w:before="0" w:after="240"/>
        <w:jc w:val="both"/>
        <w:rPr>
          <w:rFonts w:ascii="Calibri" w:hAnsi="Calibri" w:cs="Tms Rmn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По мнению организаторов и участников мероприятия, такие лекции очень  важны сегодня, когда пенсионеры активно пользуются онлайн-банками и другими способами дистанционного банковского обслуживания. </w:t>
      </w:r>
    </w:p>
    <w:p>
      <w:pPr>
        <w:pStyle w:val="NoSpacing"/>
        <w:spacing w:before="0" w:after="240"/>
        <w:jc w:val="both"/>
        <w:rPr>
          <w:rFonts w:ascii="Calibri" w:hAnsi="Calibri" w:cs="Tms Rmn" w:asciiTheme="minorHAnsi" w:hAnsiTheme="minorHAnsi"/>
          <w:color w:val="000000"/>
        </w:rPr>
      </w:pPr>
      <w:r>
        <w:rPr>
          <w:rFonts w:cs="Tms Rmn"/>
          <w:color w:val="000000"/>
        </w:rPr>
      </w:r>
    </w:p>
    <w:p>
      <w:pPr>
        <w:pStyle w:val="NoSpacing"/>
        <w:spacing w:before="0" w:after="240"/>
        <w:jc w:val="both"/>
        <w:rPr>
          <w:rFonts w:ascii="Calibri" w:hAnsi="Calibri" w:cs="Tms Rmn" w:asciiTheme="minorHAnsi" w:hAnsiTheme="minorHAnsi"/>
          <w:color w:val="000000"/>
        </w:rPr>
      </w:pPr>
      <w:r>
        <w:rPr>
          <w:rFonts w:cs="Tms Rmn"/>
          <w:color w:val="000000"/>
        </w:rPr>
      </w:r>
    </w:p>
    <w:p>
      <w:pPr>
        <w:pStyle w:val="NoSpacing"/>
        <w:spacing w:before="0" w:after="240"/>
        <w:jc w:val="both"/>
        <w:rPr>
          <w:rFonts w:ascii="Calibri" w:hAnsi="Calibri" w:cs="Tms Rmn" w:asciiTheme="minorHAnsi" w:hAnsiTheme="minorHAnsi"/>
          <w:color w:val="000000"/>
        </w:rPr>
      </w:pPr>
      <w:r>
        <w:rPr>
          <w:rFonts w:cs="Tms Rmn"/>
          <w:color w:val="000000"/>
        </w:rPr>
      </w:r>
    </w:p>
    <w:p>
      <w:pPr>
        <w:pStyle w:val="NoSpacing"/>
        <w:spacing w:before="0" w:after="240"/>
        <w:jc w:val="both"/>
        <w:rPr>
          <w:rFonts w:ascii="Calibri" w:hAnsi="Calibri" w:cs="Tms Rmn" w:asciiTheme="minorHAnsi" w:hAnsiTheme="minorHAnsi"/>
          <w:color w:val="000000"/>
        </w:rPr>
      </w:pPr>
      <w:r>
        <w:rPr>
          <w:rFonts w:cs="Tms Rmn"/>
          <w:color w:val="000000"/>
        </w:rPr>
      </w:r>
    </w:p>
    <w:p>
      <w:pPr>
        <w:pStyle w:val="NoSpacing"/>
        <w:spacing w:before="0" w:after="240"/>
        <w:jc w:val="both"/>
        <w:rPr>
          <w:rFonts w:ascii="Calibri" w:hAnsi="Calibri" w:cs="Tms Rmn" w:asciiTheme="minorHAnsi" w:hAnsiTheme="minorHAnsi"/>
          <w:color w:val="000000"/>
        </w:rPr>
      </w:pPr>
      <w:r>
        <w:rPr>
          <w:rFonts w:cs="Tms Rmn"/>
          <w:color w:val="000000"/>
        </w:rPr>
      </w:r>
    </w:p>
    <w:p>
      <w:pPr>
        <w:pStyle w:val="NoSpacing"/>
        <w:spacing w:before="0" w:after="240"/>
        <w:jc w:val="both"/>
        <w:rPr>
          <w:rFonts w:ascii="Calibri" w:hAnsi="Calibri" w:cs="Tms Rmn" w:asciiTheme="minorHAnsi" w:hAnsiTheme="minorHAnsi"/>
          <w:color w:val="000000"/>
        </w:rPr>
      </w:pPr>
      <w:r>
        <w:rPr>
          <w:rFonts w:cs="Tms Rmn"/>
          <w:color w:val="000000"/>
        </w:rPr>
      </w:r>
    </w:p>
    <w:p>
      <w:pPr>
        <w:pStyle w:val="NoSpacing"/>
        <w:jc w:val="right"/>
        <w:rPr/>
      </w:pPr>
      <w:r>
        <w:rPr/>
        <w:t>Лидия Смыченко,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начальник отдела по взаимодействию со СМИ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Отделения ПФР по Приморскому краю</w:t>
      </w:r>
    </w:p>
    <w:p>
      <w:pPr>
        <w:pStyle w:val="NoSpacing"/>
        <w:jc w:val="right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3">
        <w:r>
          <w:rPr/>
          <w:t>2901@035.</w:t>
        </w:r>
        <w:r>
          <w:rPr>
            <w:lang w:val="en-US"/>
          </w:rPr>
          <w:t>pfr</w:t>
        </w:r>
        <w:r>
          <w:rPr/>
          <w:t>.</w:t>
        </w:r>
        <w:r>
          <w:rPr>
            <w:lang w:val="en-US"/>
          </w:rPr>
          <w:t>gov</w:t>
        </w:r>
        <w:r>
          <w:rPr/>
          <w:t>.</w:t>
        </w:r>
        <w:r>
          <w:rPr>
            <w:lang w:val="en-US"/>
          </w:rPr>
          <w:t>ru</w:t>
        </w:r>
      </w:hyperlink>
    </w:p>
    <w:p>
      <w:pPr>
        <w:pStyle w:val="NoSpacing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8" w:right="849" w:header="0" w:top="54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uiPriority w:val="1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901@035.pfr.gov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LibreOffice/7.0.4.2$Windows_x86 LibreOffice_project/dcf040e67528d9187c66b2379df5ea4407429775</Application>
  <AppVersion>15.0000</AppVersion>
  <Pages>1</Pages>
  <Words>215</Words>
  <Characters>1606</Characters>
  <CharactersWithSpaces>1833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2022-10-27T02:03:00Z</dcterms:created>
  <dc:creator>14051</dc:creator>
  <dc:description/>
  <dc:language>ru-RU</dc:language>
  <cp:lastModifiedBy>Туркеева Елена Александровна</cp:lastModifiedBy>
  <cp:lastPrinted>2022-11-23T01:12:00Z</cp:lastPrinted>
  <dcterms:modified xsi:type="dcterms:W3CDTF">2022-11-24T23:03:00Z</dcterms:modified>
  <cp:revision>11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