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560" w:hanging="0"/>
        <w:jc w:val="center"/>
        <w:rPr>
          <w:sz w:val="24"/>
          <w:szCs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-226060</wp:posOffset>
            </wp:positionH>
            <wp:positionV relativeFrom="paragraph">
              <wp:posOffset>3810</wp:posOffset>
            </wp:positionV>
            <wp:extent cx="885825" cy="790575"/>
            <wp:effectExtent l="0" t="0" r="0" b="0"/>
            <wp:wrapNone/>
            <wp:docPr id="1" name="Рисунок 1" descr="пфр-п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фр-пнг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ЕНСИОННЫЙ ФОНД РОССИЙСКОЙ  ФЕДЕРАЦИИ</w:t>
      </w:r>
    </w:p>
    <w:p>
      <w:pPr>
        <w:pStyle w:val="Normal"/>
        <w:spacing w:before="0" w:after="0"/>
        <w:ind w:left="1843" w:right="-5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ГОСУДАРСТВЕННОЕ УЧРЕЖДЕНИЕ –</w:t>
      </w:r>
    </w:p>
    <w:p>
      <w:pPr>
        <w:pStyle w:val="Normal"/>
        <w:spacing w:before="0" w:after="0"/>
        <w:ind w:left="1843" w:right="-5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УПРАВ</w:t>
      </w:r>
      <w:r>
        <w:rPr>
          <w:b/>
          <w:sz w:val="24"/>
          <w:szCs w:val="24"/>
        </w:rPr>
        <w:t>ЛЕНИЕ ПЕНСИОННОГО ФОНДА</w:t>
      </w:r>
    </w:p>
    <w:p>
      <w:pPr>
        <w:pStyle w:val="Normal"/>
        <w:spacing w:before="0" w:after="0"/>
        <w:ind w:left="1843" w:right="-5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РОССИЙСКОЙ ФЕДЕРАЦИИ ПО </w:t>
      </w:r>
      <w:r>
        <w:rPr>
          <w:b/>
          <w:sz w:val="24"/>
          <w:szCs w:val="24"/>
        </w:rPr>
        <w:t>ЧУГУЕВСКОМУ РАЙОНУ</w:t>
      </w:r>
    </w:p>
    <w:p>
      <w:pPr>
        <w:pStyle w:val="Normal"/>
        <w:spacing w:before="0" w:after="0"/>
        <w:ind w:left="1843" w:right="-5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ПРИМОРСКО</w:t>
      </w:r>
      <w:r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КРА</w:t>
      </w:r>
      <w:r>
        <w:rPr>
          <w:b/>
          <w:sz w:val="24"/>
          <w:szCs w:val="24"/>
        </w:rPr>
        <w:t>Я</w:t>
      </w:r>
    </w:p>
    <w:p>
      <w:pPr>
        <w:pStyle w:val="Normal"/>
        <w:spacing w:lineRule="auto" w:line="480"/>
        <w:ind w:right="-5" w:hanging="0"/>
        <w:jc w:val="center"/>
        <w:rPr/>
      </w:pPr>
      <w:r>
        <w:rPr/>
        <w:t>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32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2"/>
          <w:szCs w:val="48"/>
          <w:lang w:eastAsia="ru-RU"/>
        </w:rPr>
        <w:t>Как учитываются сведения о доходах?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Autospacing="1"/>
        <w:outlineLvl w:val="0"/>
        <w:rPr>
          <w:sz w:val="24"/>
          <w:szCs w:val="24"/>
        </w:rPr>
      </w:pPr>
      <w:r>
        <w:rPr>
          <w:rFonts w:cs="Arial" w:ascii="Arial" w:hAnsi="Arial"/>
          <w:b/>
          <w:bCs/>
          <w:color w:val="212121"/>
          <w:kern w:val="2"/>
          <w:sz w:val="24"/>
          <w:szCs w:val="24"/>
        </w:rPr>
        <w:t>3</w:t>
      </w:r>
      <w:r>
        <w:rPr>
          <w:rFonts w:cs="Arial" w:ascii="Arial" w:hAnsi="Arial"/>
          <w:b/>
          <w:bCs/>
          <w:color w:val="212121"/>
          <w:kern w:val="2"/>
          <w:sz w:val="24"/>
          <w:szCs w:val="24"/>
        </w:rPr>
        <w:t xml:space="preserve">0 августа 2021, </w:t>
      </w:r>
      <w:r>
        <w:rPr>
          <w:rFonts w:cs="Arial" w:ascii="Arial" w:hAnsi="Arial"/>
          <w:b/>
          <w:bCs/>
          <w:color w:val="212121"/>
          <w:kern w:val="2"/>
          <w:sz w:val="24"/>
          <w:szCs w:val="24"/>
        </w:rPr>
        <w:t>с. Чугуевка</w:t>
      </w:r>
    </w:p>
    <w:p>
      <w:pPr>
        <w:pStyle w:val="NormalWeb"/>
        <w:spacing w:before="280" w:after="2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Ежемесячное пособие на ребенка в возрасте от восьми до шестнадцати лет (включительно) – мера государственной поддержки нуждающимся родителям, которые в одиночку воспитывают детей. </w:t>
      </w:r>
      <w:r>
        <w:rPr>
          <w:rFonts w:eastAsia="Times New Roman" w:cs="Times New Roman"/>
          <w:sz w:val="26"/>
          <w:szCs w:val="26"/>
          <w:lang w:eastAsia="ru-RU"/>
        </w:rPr>
        <w:t>Управ</w:t>
      </w:r>
      <w:r>
        <w:rPr>
          <w:sz w:val="26"/>
          <w:szCs w:val="26"/>
        </w:rPr>
        <w:t xml:space="preserve">ление ПФР по </w:t>
      </w:r>
      <w:r>
        <w:rPr>
          <w:sz w:val="26"/>
          <w:szCs w:val="26"/>
        </w:rPr>
        <w:t xml:space="preserve">Чугуевскому району </w:t>
      </w:r>
      <w:r>
        <w:rPr>
          <w:sz w:val="26"/>
          <w:szCs w:val="26"/>
        </w:rPr>
        <w:t>Приморско</w:t>
      </w:r>
      <w:r>
        <w:rPr>
          <w:sz w:val="26"/>
          <w:szCs w:val="26"/>
        </w:rPr>
        <w:t>го</w:t>
      </w:r>
      <w:r>
        <w:rPr>
          <w:sz w:val="26"/>
          <w:szCs w:val="26"/>
        </w:rPr>
        <w:t xml:space="preserve"> кра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 напоминает о периоде, за который учитывается доход семьи для назначения этой выплаты.</w:t>
      </w:r>
    </w:p>
    <w:p>
      <w:pPr>
        <w:pStyle w:val="NormalWeb"/>
        <w:spacing w:before="280" w:after="2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доходах учитываются за 12 месяцев, но отсчет этого периода начинается за 4 месяца до даты подачи заявления. Это значит, что если вы обращались за выплатой в июле 2021 года, то учитываются доходы с марта 2020 года по февраль 2021 года, а если в августе 2021 года – с а</w:t>
      </w:r>
      <w:bookmarkStart w:id="0" w:name="_GoBack"/>
      <w:bookmarkEnd w:id="0"/>
      <w:r>
        <w:rPr>
          <w:sz w:val="26"/>
          <w:szCs w:val="26"/>
        </w:rPr>
        <w:t>преля 2020 по март 2021 года.</w:t>
      </w:r>
    </w:p>
    <w:p>
      <w:pPr>
        <w:pStyle w:val="NormalWeb"/>
        <w:spacing w:before="280" w:after="2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при оценке нуждаемости помимо доходов учитывается и имущество семьи.</w:t>
      </w:r>
    </w:p>
    <w:p>
      <w:pPr>
        <w:pStyle w:val="NormalWeb"/>
        <w:spacing w:before="280" w:after="2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Чтобы определить, имеет ли семья право на выплату, необходимо разделить доходы всех членов семьи за учитываемый год на двенадцать месяцев и на количество членов семьи.</w:t>
      </w:r>
    </w:p>
    <w:p>
      <w:pPr>
        <w:pStyle w:val="1"/>
        <w:spacing w:beforeAutospacing="0" w:before="0" w:afterAutospacing="0" w:after="0"/>
        <w:ind w:firstLine="708"/>
        <w:jc w:val="both"/>
        <w:rPr>
          <w:sz w:val="26"/>
          <w:szCs w:val="26"/>
        </w:rPr>
      </w:pPr>
      <w:r>
        <w:rPr>
          <w:b w:val="false"/>
          <w:bCs w:val="false"/>
          <w:kern w:val="0"/>
          <w:sz w:val="26"/>
          <w:szCs w:val="26"/>
        </w:rPr>
        <w:t xml:space="preserve">Телефон контакт-центра Отделения ПФР по Приморскому краю: </w:t>
      </w:r>
      <w:r>
        <w:rPr>
          <w:b w:val="false"/>
          <w:bCs w:val="false"/>
          <w:kern w:val="0"/>
          <w:sz w:val="26"/>
          <w:szCs w:val="26"/>
          <w:u w:val="single"/>
        </w:rPr>
        <w:t>8(800)6000-335</w:t>
      </w:r>
      <w:r>
        <w:rPr>
          <w:b w:val="false"/>
          <w:bCs w:val="false"/>
          <w:kern w:val="0"/>
          <w:sz w:val="26"/>
          <w:szCs w:val="26"/>
        </w:rPr>
        <w:t>.</w:t>
      </w:r>
    </w:p>
    <w:p>
      <w:pPr>
        <w:pStyle w:val="1"/>
        <w:spacing w:lineRule="auto" w:line="720" w:beforeAutospacing="0" w:before="0" w:afterAutospacing="0" w:after="0"/>
        <w:jc w:val="both"/>
        <w:rPr>
          <w:b w:val="false"/>
          <w:b w:val="false"/>
          <w:bCs w:val="false"/>
          <w:kern w:val="0"/>
          <w:sz w:val="26"/>
          <w:szCs w:val="26"/>
        </w:rPr>
      </w:pPr>
      <w:r>
        <w:rPr>
          <w:b w:val="false"/>
          <w:bCs w:val="false"/>
          <w:kern w:val="0"/>
          <w:sz w:val="26"/>
          <w:szCs w:val="26"/>
        </w:rPr>
      </w:r>
    </w:p>
    <w:p>
      <w:pPr>
        <w:pStyle w:val="1"/>
        <w:spacing w:lineRule="auto" w:line="720" w:beforeAutospacing="0" w:before="0" w:afterAutospacing="0" w:after="0"/>
        <w:jc w:val="both"/>
        <w:rPr>
          <w:b w:val="false"/>
          <w:b w:val="false"/>
          <w:bCs w:val="false"/>
          <w:kern w:val="0"/>
          <w:sz w:val="24"/>
          <w:szCs w:val="24"/>
        </w:rPr>
      </w:pPr>
      <w:r>
        <w:rPr>
          <w:b w:val="false"/>
          <w:bCs w:val="false"/>
          <w:kern w:val="0"/>
          <w:sz w:val="24"/>
          <w:szCs w:val="24"/>
        </w:rPr>
      </w:r>
    </w:p>
    <w:p>
      <w:pPr>
        <w:pStyle w:val="1"/>
        <w:spacing w:lineRule="auto" w:line="720" w:beforeAutospacing="0" w:before="0" w:afterAutospacing="0" w:after="0"/>
        <w:jc w:val="both"/>
        <w:rPr>
          <w:b w:val="false"/>
          <w:b w:val="false"/>
          <w:bCs w:val="false"/>
          <w:kern w:val="0"/>
          <w:sz w:val="24"/>
          <w:szCs w:val="24"/>
        </w:rPr>
      </w:pPr>
      <w:r>
        <w:rPr>
          <w:b w:val="false"/>
          <w:bCs w:val="false"/>
          <w:kern w:val="0"/>
          <w:sz w:val="24"/>
          <w:szCs w:val="24"/>
        </w:rPr>
      </w:r>
    </w:p>
    <w:p>
      <w:pPr>
        <w:pStyle w:val="1"/>
        <w:spacing w:lineRule="auto" w:line="720" w:beforeAutospacing="0" w:before="0" w:afterAutospacing="0" w:after="0"/>
        <w:jc w:val="both"/>
        <w:rPr>
          <w:b w:val="false"/>
          <w:b w:val="false"/>
          <w:bCs w:val="false"/>
          <w:kern w:val="0"/>
          <w:sz w:val="24"/>
          <w:szCs w:val="24"/>
        </w:rPr>
      </w:pPr>
      <w:r>
        <w:rPr>
          <w:b w:val="false"/>
          <w:bCs w:val="false"/>
          <w:kern w:val="0"/>
          <w:sz w:val="24"/>
          <w:szCs w:val="24"/>
        </w:rPr>
      </w:r>
    </w:p>
    <w:p>
      <w:pPr>
        <w:pStyle w:val="1"/>
        <w:spacing w:lineRule="auto" w:line="720" w:beforeAutospacing="0" w:before="0" w:afterAutospacing="0" w:after="0"/>
        <w:jc w:val="both"/>
        <w:rPr>
          <w:b w:val="false"/>
          <w:b w:val="false"/>
          <w:bCs w:val="false"/>
          <w:kern w:val="0"/>
          <w:sz w:val="24"/>
          <w:szCs w:val="24"/>
        </w:rPr>
      </w:pPr>
      <w:r>
        <w:rPr>
          <w:b w:val="false"/>
          <w:bCs w:val="false"/>
          <w:kern w:val="0"/>
          <w:sz w:val="24"/>
          <w:szCs w:val="24"/>
        </w:rPr>
      </w:r>
    </w:p>
    <w:p>
      <w:pPr>
        <w:pStyle w:val="1"/>
        <w:spacing w:beforeAutospacing="0" w:before="0" w:afterAutospacing="0" w:after="0"/>
        <w:ind w:firstLine="708"/>
        <w:jc w:val="both"/>
        <w:rPr>
          <w:b w:val="false"/>
          <w:b w:val="false"/>
          <w:bCs w:val="false"/>
          <w:kern w:val="0"/>
          <w:sz w:val="24"/>
          <w:szCs w:val="24"/>
        </w:rPr>
      </w:pPr>
      <w:r>
        <w:rPr>
          <w:b w:val="false"/>
          <w:bCs w:val="false"/>
          <w:kern w:val="0"/>
          <w:sz w:val="24"/>
          <w:szCs w:val="24"/>
        </w:rPr>
      </w:r>
    </w:p>
    <w:p>
      <w:pPr>
        <w:pStyle w:val="NoSpacing"/>
        <w:spacing w:before="240" w:after="0"/>
        <w:jc w:val="right"/>
        <w:rPr>
          <w:sz w:val="20"/>
        </w:rPr>
      </w:pPr>
      <w:r>
        <w:rPr>
          <w:sz w:val="20"/>
        </w:rPr>
        <w:t>Лидия Смыченко,</w:t>
      </w:r>
    </w:p>
    <w:p>
      <w:pPr>
        <w:pStyle w:val="NoSpacing"/>
        <w:jc w:val="right"/>
        <w:rPr>
          <w:sz w:val="20"/>
        </w:rPr>
      </w:pPr>
      <w:r>
        <w:rPr>
          <w:sz w:val="20"/>
        </w:rPr>
        <w:t>руководитель пресс-службы Отделения ПФР</w:t>
      </w:r>
    </w:p>
    <w:p>
      <w:pPr>
        <w:pStyle w:val="NoSpacing"/>
        <w:jc w:val="right"/>
        <w:rPr>
          <w:sz w:val="20"/>
        </w:rPr>
      </w:pPr>
      <w:r>
        <w:rPr>
          <w:sz w:val="20"/>
        </w:rPr>
        <w:t>по Приморскому краю</w:t>
      </w:r>
    </w:p>
    <w:p>
      <w:pPr>
        <w:pStyle w:val="NoSpacing"/>
        <w:jc w:val="right"/>
        <w:rPr>
          <w:sz w:val="20"/>
        </w:rPr>
      </w:pPr>
      <w:r>
        <w:rPr>
          <w:sz w:val="20"/>
        </w:rPr>
        <w:t xml:space="preserve">тел.: (423) 2498-713; </w:t>
      </w:r>
    </w:p>
    <w:p>
      <w:pPr>
        <w:pStyle w:val="NoSpacing"/>
        <w:jc w:val="right"/>
        <w:rPr>
          <w:sz w:val="20"/>
        </w:rPr>
      </w:pP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hyperlink r:id="rId3">
        <w:r>
          <w:rPr>
            <w:sz w:val="20"/>
          </w:rPr>
          <w:t>2901@035.</w:t>
        </w:r>
        <w:r>
          <w:rPr>
            <w:sz w:val="20"/>
            <w:lang w:val="en-US"/>
          </w:rPr>
          <w:t>pfr</w:t>
        </w:r>
        <w:r>
          <w:rPr>
            <w:sz w:val="20"/>
          </w:rPr>
          <w:t>.</w:t>
        </w:r>
        <w:r>
          <w:rPr>
            <w:sz w:val="20"/>
            <w:lang w:val="en-US"/>
          </w:rPr>
          <w:t>gov</w:t>
        </w:r>
        <w:r>
          <w:rPr>
            <w:sz w:val="20"/>
          </w:rPr>
          <w:t>.</w:t>
        </w:r>
        <w:r>
          <w:rPr>
            <w:sz w:val="20"/>
            <w:lang w:val="en-US"/>
          </w:rPr>
          <w:t>ru</w:t>
        </w:r>
      </w:hyperlink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268" w:right="65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3a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7543a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543a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nhideWhenUsed/>
    <w:rsid w:val="007543ad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543a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543a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2901@035.pfr.gov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LibreOffice/7.0.4.2$Windows_X86_64 LibreOffice_project/dcf040e67528d9187c66b2379df5ea4407429775</Application>
  <AppVersion>15.0000</AppVersion>
  <Pages>2</Pages>
  <Words>181</Words>
  <Characters>1192</Characters>
  <CharactersWithSpaces>1360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2021-08-20T03:40:00Z</dcterms:created>
  <dc:creator>Сергеева Дарья Сергеевна</dc:creator>
  <dc:description/>
  <dc:language>ru-RU</dc:language>
  <cp:lastModifiedBy/>
  <dcterms:modified xsi:type="dcterms:W3CDTF">2021-08-31T11:19:12Z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