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2F2F3464" w:rsidR="008D2D59" w:rsidRPr="007D6FC2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61F4C" w:rsidRPr="007D6FC2">
        <w:rPr>
          <w:rFonts w:ascii="Times New Roman" w:hAnsi="Times New Roman" w:cs="Times New Roman"/>
          <w:b/>
          <w:sz w:val="24"/>
          <w:szCs w:val="24"/>
        </w:rPr>
        <w:t>1</w:t>
      </w:r>
    </w:p>
    <w:p w14:paraId="0A707378" w14:textId="77777777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Чугуевском муниципальном районе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59063D86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="00EE40F5">
        <w:rPr>
          <w:rFonts w:ascii="Times New Roman" w:hAnsi="Times New Roman" w:cs="Times New Roman"/>
          <w:sz w:val="24"/>
          <w:szCs w:val="24"/>
        </w:rPr>
        <w:t>1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EE40F5">
        <w:rPr>
          <w:rFonts w:ascii="Times New Roman" w:hAnsi="Times New Roman" w:cs="Times New Roman"/>
          <w:sz w:val="24"/>
          <w:szCs w:val="24"/>
        </w:rPr>
        <w:t>1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190172">
        <w:rPr>
          <w:rFonts w:ascii="Times New Roman" w:hAnsi="Times New Roman" w:cs="Times New Roman"/>
          <w:sz w:val="24"/>
          <w:szCs w:val="24"/>
        </w:rPr>
        <w:t>4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2A30901B" w:rsidR="00CE65DE" w:rsidRPr="00190172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190172">
        <w:rPr>
          <w:rFonts w:ascii="Times New Roman" w:hAnsi="Times New Roman" w:cs="Times New Roman"/>
          <w:sz w:val="24"/>
          <w:szCs w:val="24"/>
        </w:rPr>
        <w:t>Кузьменчук Н.В.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142E192A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7B4AC8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706E50E3" w:rsidR="00887C13" w:rsidRDefault="003B7BF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Об утверждении Доклада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53221A36" w14:textId="3013B691" w:rsidR="00D65674" w:rsidRPr="00D65674" w:rsidRDefault="00D65674" w:rsidP="0071145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674">
        <w:rPr>
          <w:rFonts w:ascii="Times New Roman" w:hAnsi="Times New Roman" w:cs="Times New Roman"/>
          <w:sz w:val="24"/>
          <w:szCs w:val="24"/>
        </w:rPr>
        <w:t>Об утверждении Доклада о состоянии и развитии конкурентной среды на рынках товаров, работ и услуг Чугуевского муниципального округа</w:t>
      </w:r>
      <w:r w:rsidR="0085068E">
        <w:rPr>
          <w:rFonts w:ascii="Times New Roman" w:hAnsi="Times New Roman" w:cs="Times New Roman"/>
          <w:sz w:val="24"/>
          <w:szCs w:val="24"/>
        </w:rPr>
        <w:t>.</w:t>
      </w:r>
    </w:p>
    <w:p w14:paraId="6B53EC77" w14:textId="7F4FAF11" w:rsidR="00711453" w:rsidRPr="00711453" w:rsidRDefault="00711453" w:rsidP="007114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453">
        <w:rPr>
          <w:rFonts w:ascii="Times New Roman" w:hAnsi="Times New Roman" w:cs="Times New Roman"/>
          <w:sz w:val="24"/>
          <w:szCs w:val="24"/>
        </w:rPr>
        <w:t>Обеспечение работников СИЗ и смывающими средствами</w:t>
      </w:r>
      <w:r w:rsidR="0085068E">
        <w:rPr>
          <w:rFonts w:ascii="Times New Roman" w:hAnsi="Times New Roman" w:cs="Times New Roman"/>
          <w:sz w:val="24"/>
          <w:szCs w:val="24"/>
        </w:rPr>
        <w:t>.</w:t>
      </w:r>
    </w:p>
    <w:p w14:paraId="00EA1AD3" w14:textId="77777777" w:rsidR="0085068E" w:rsidRDefault="0085068E" w:rsidP="008506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68E">
        <w:rPr>
          <w:rFonts w:ascii="Times New Roman" w:hAnsi="Times New Roman" w:cs="Times New Roman"/>
          <w:sz w:val="24"/>
          <w:szCs w:val="24"/>
        </w:rPr>
        <w:t>Минтруд России планирует обновить правила</w:t>
      </w:r>
      <w:r w:rsidRPr="0085068E">
        <w:rPr>
          <w:rFonts w:ascii="Times New Roman" w:hAnsi="Times New Roman" w:cs="Times New Roman"/>
          <w:sz w:val="24"/>
          <w:szCs w:val="24"/>
        </w:rPr>
        <w:t xml:space="preserve"> </w:t>
      </w:r>
      <w:r w:rsidRPr="0085068E">
        <w:rPr>
          <w:rFonts w:ascii="Times New Roman" w:hAnsi="Times New Roman" w:cs="Times New Roman"/>
          <w:sz w:val="24"/>
          <w:szCs w:val="24"/>
        </w:rPr>
        <w:t>финобеспечения предупредительных мер по сокращению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6CE1B" w14:textId="7355A754" w:rsidR="00E46E7F" w:rsidRPr="0085068E" w:rsidRDefault="007B4AC8" w:rsidP="008506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B4AC8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4AC8">
        <w:rPr>
          <w:rFonts w:ascii="Times New Roman" w:hAnsi="Times New Roman" w:cs="Times New Roman"/>
          <w:sz w:val="24"/>
          <w:szCs w:val="24"/>
        </w:rPr>
        <w:t xml:space="preserve"> контрольно-надзорной деятельности за 2023 год в разрезе видов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EC" w:rsidRPr="0085068E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409CE8EE" w:rsidR="00887C13" w:rsidRDefault="00887C13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430030">
        <w:rPr>
          <w:rFonts w:ascii="Times New Roman" w:hAnsi="Times New Roman" w:cs="Times New Roman"/>
          <w:sz w:val="24"/>
          <w:szCs w:val="24"/>
        </w:rPr>
        <w:t>в соответствии с законодатель</w:t>
      </w:r>
      <w:r w:rsidR="00430030" w:rsidRPr="00147A83">
        <w:rPr>
          <w:rFonts w:ascii="Times New Roman" w:hAnsi="Times New Roman" w:cs="Times New Roman"/>
          <w:sz w:val="24"/>
          <w:szCs w:val="24"/>
        </w:rPr>
        <w:t xml:space="preserve">ством и в </w:t>
      </w:r>
      <w:r w:rsidR="00147A83" w:rsidRPr="00147A83">
        <w:rPr>
          <w:rFonts w:ascii="Times New Roman" w:hAnsi="Times New Roman" w:cs="Times New Roman"/>
          <w:sz w:val="24"/>
          <w:szCs w:val="24"/>
        </w:rPr>
        <w:t>связи с о</w:t>
      </w:r>
      <w:r w:rsidR="00147A83" w:rsidRPr="00147A83">
        <w:rPr>
          <w:rFonts w:ascii="Times New Roman" w:hAnsi="Times New Roman" w:cs="Times New Roman"/>
        </w:rPr>
        <w:t>тсутствием у предпринимателей понимания того, что является правомерным или противоправным</w:t>
      </w:r>
      <w:r w:rsidR="00147A83">
        <w:rPr>
          <w:rFonts w:ascii="Times New Roman" w:hAnsi="Times New Roman" w:cs="Times New Roman"/>
        </w:rPr>
        <w:t xml:space="preserve">, для </w:t>
      </w:r>
      <w:r w:rsidR="00147A83" w:rsidRPr="006B1ED2">
        <w:rPr>
          <w:rFonts w:ascii="Times New Roman" w:hAnsi="Times New Roman" w:cs="Times New Roman"/>
        </w:rPr>
        <w:t>разъяснения</w:t>
      </w:r>
      <w:r w:rsidR="00147A83" w:rsidRPr="00147A83">
        <w:rPr>
          <w:rFonts w:ascii="Times New Roman" w:hAnsi="Times New Roman" w:cs="Times New Roman"/>
          <w:color w:val="FF0000"/>
        </w:rPr>
        <w:t xml:space="preserve"> </w:t>
      </w:r>
      <w:r w:rsidR="00147A83" w:rsidRPr="00147A83">
        <w:rPr>
          <w:rFonts w:ascii="Times New Roman" w:hAnsi="Times New Roman" w:cs="Times New Roman"/>
        </w:rPr>
        <w:t>рисков негативных последствий, связанных с антимонопольными нарушениями</w:t>
      </w:r>
      <w:r w:rsidR="006B1ED2">
        <w:rPr>
          <w:rFonts w:ascii="Times New Roman" w:hAnsi="Times New Roman" w:cs="Times New Roman"/>
        </w:rPr>
        <w:t xml:space="preserve">, администрацией Чугуевского муниципального округа сформирован и размещен на официальном сайте Чугуевского муниципального округа Доклад </w:t>
      </w:r>
      <w:r w:rsidR="006B1ED2" w:rsidRPr="006B1ED2">
        <w:rPr>
          <w:rFonts w:ascii="Times New Roman" w:hAnsi="Times New Roman" w:cs="Times New Roman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  <w:r w:rsidR="00FA159F">
        <w:rPr>
          <w:rFonts w:ascii="Times New Roman" w:hAnsi="Times New Roman" w:cs="Times New Roman"/>
        </w:rPr>
        <w:t xml:space="preserve"> </w:t>
      </w:r>
    </w:p>
    <w:p w14:paraId="5EA0DB82" w14:textId="05F34BDB" w:rsidR="00E33724" w:rsidRDefault="00E33724" w:rsidP="00887C13">
      <w:pPr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>Решили: утвердить Доклад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61B1B532" w14:textId="7981388B" w:rsidR="00611F3E" w:rsidRDefault="00611F3E" w:rsidP="00887C13">
      <w:pPr>
        <w:jc w:val="both"/>
        <w:rPr>
          <w:rFonts w:ascii="Times New Roman" w:hAnsi="Times New Roman" w:cs="Times New Roman"/>
        </w:rPr>
      </w:pPr>
    </w:p>
    <w:p w14:paraId="6D633696" w14:textId="25E5C8E4" w:rsidR="00611F3E" w:rsidRDefault="00611F3E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 второму вопросу выступила Федотова Л.В. – начальник управления экономического развития и потребительского рынка: в</w:t>
      </w:r>
      <w:r w:rsidRPr="00611F3E">
        <w:rPr>
          <w:rFonts w:ascii="Times New Roman" w:hAnsi="Times New Roman" w:cs="Times New Roman"/>
        </w:rPr>
        <w:t xml:space="preserve">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24 августа 2020 года № 322-рг «О внесении изменений в распоряжение Губернатора Приморского края от 24 декабря 2019 года № 358-рг «О реализации мероприятий по внедрению стандарта развития конкуренции в Приморском  крае», </w:t>
      </w:r>
      <w:r w:rsidR="002930A6" w:rsidRPr="002930A6">
        <w:rPr>
          <w:rFonts w:ascii="Times New Roman" w:hAnsi="Times New Roman" w:cs="Times New Roman"/>
        </w:rPr>
        <w:t xml:space="preserve">в Чугуевском муниципальном округе принято постановление администрации Чугуевского муниципального округа от 27.05.2022г. № 444 «Об утверждении Плана мероприятий («дорожная карта») по содействию развитию конкуренции в Чугуевском муниципальном округе и </w:t>
      </w:r>
      <w:r w:rsidR="002930A6" w:rsidRPr="002930A6">
        <w:rPr>
          <w:rFonts w:ascii="Times New Roman" w:hAnsi="Times New Roman" w:cs="Times New Roman"/>
        </w:rPr>
        <w:lastRenderedPageBreak/>
        <w:t>Перечня товарных рынков Чугуевского муниципального округа», постановление администрации Чугуевского муниципального округа от 22.07.2022г. № 624 «О внесении изменении в постановление администрации Чугуевского муниципального округа от 27 мая 2022 года № 444 «Об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</w:t>
      </w:r>
      <w:r w:rsidR="002930A6">
        <w:rPr>
          <w:rFonts w:ascii="Times New Roman" w:hAnsi="Times New Roman" w:cs="Times New Roman"/>
        </w:rPr>
        <w:t>.</w:t>
      </w:r>
      <w:r w:rsidR="002930A6" w:rsidRPr="002930A6">
        <w:rPr>
          <w:rFonts w:ascii="Times New Roman" w:hAnsi="Times New Roman" w:cs="Times New Roman"/>
        </w:rPr>
        <w:t xml:space="preserve"> </w:t>
      </w:r>
      <w:r w:rsidRPr="00611F3E">
        <w:rPr>
          <w:rFonts w:ascii="Times New Roman" w:hAnsi="Times New Roman" w:cs="Times New Roman"/>
        </w:rPr>
        <w:t xml:space="preserve">Актуальная информация о внедрении стандарта на территории Чугуевского муниципального округа размещена на официальном сайте Чугуевского муниципального округа в сети Интернет по ссылке: </w:t>
      </w:r>
      <w:hyperlink r:id="rId5" w:history="1">
        <w:r w:rsidRPr="00A34C89">
          <w:rPr>
            <w:rStyle w:val="a3"/>
            <w:rFonts w:ascii="Times New Roman" w:hAnsi="Times New Roman" w:cs="Times New Roman"/>
          </w:rPr>
          <w:t>https://chuguevsky.ru/administraciya/razvitie-konkurentsii/</w:t>
        </w:r>
      </w:hyperlink>
      <w:r>
        <w:rPr>
          <w:rFonts w:ascii="Times New Roman" w:hAnsi="Times New Roman" w:cs="Times New Roman"/>
        </w:rPr>
        <w:t xml:space="preserve"> </w:t>
      </w:r>
    </w:p>
    <w:p w14:paraId="227F26C2" w14:textId="765CFA03" w:rsidR="00611F3E" w:rsidRDefault="00611F3E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утвердить </w:t>
      </w:r>
      <w:r w:rsidRPr="00611F3E">
        <w:rPr>
          <w:rFonts w:ascii="Times New Roman" w:hAnsi="Times New Roman" w:cs="Times New Roman"/>
        </w:rPr>
        <w:t>Доклад о состоянии и развитии конкурентной среды на рынках товаров, работ и услуг Чугуевского муниципального округа</w:t>
      </w:r>
    </w:p>
    <w:p w14:paraId="6482FD58" w14:textId="77777777" w:rsidR="00E33724" w:rsidRDefault="00E33724" w:rsidP="00887C13">
      <w:pPr>
        <w:jc w:val="both"/>
        <w:rPr>
          <w:rFonts w:ascii="Times New Roman" w:hAnsi="Times New Roman" w:cs="Times New Roman"/>
        </w:rPr>
      </w:pPr>
    </w:p>
    <w:p w14:paraId="58F9E44D" w14:textId="77777777" w:rsidR="00711453" w:rsidRPr="00711453" w:rsidRDefault="00FA159F" w:rsidP="0071145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611F3E">
        <w:rPr>
          <w:rFonts w:ascii="Times New Roman" w:hAnsi="Times New Roman" w:cs="Times New Roman"/>
        </w:rPr>
        <w:t xml:space="preserve">По </w:t>
      </w:r>
      <w:r w:rsidR="00611F3E" w:rsidRPr="00611F3E">
        <w:rPr>
          <w:rFonts w:ascii="Times New Roman" w:hAnsi="Times New Roman" w:cs="Times New Roman"/>
        </w:rPr>
        <w:t>третьему вопросу слушали Зломнову Л.А. - начальника отдела охраны труда администрации Чугуевского муниципального округа</w:t>
      </w:r>
      <w:r w:rsidRPr="00611F3E">
        <w:rPr>
          <w:rFonts w:ascii="Times New Roman" w:hAnsi="Times New Roman" w:cs="Times New Roman"/>
        </w:rPr>
        <w:t xml:space="preserve"> </w:t>
      </w:r>
      <w:r w:rsidR="00611F3E">
        <w:rPr>
          <w:rFonts w:ascii="Times New Roman" w:hAnsi="Times New Roman" w:cs="Times New Roman"/>
        </w:rPr>
        <w:t>:</w:t>
      </w:r>
      <w:r w:rsidRPr="00611F3E">
        <w:rPr>
          <w:rFonts w:ascii="Times New Roman" w:hAnsi="Times New Roman" w:cs="Times New Roman"/>
        </w:rPr>
        <w:t xml:space="preserve"> </w:t>
      </w:r>
      <w:r w:rsidR="00711453" w:rsidRPr="00711453">
        <w:rPr>
          <w:rFonts w:ascii="Times New Roman" w:hAnsi="Times New Roman" w:cs="Times New Roman"/>
        </w:rPr>
        <w:t xml:space="preserve">До 31 декабря 2024 г. включительно работодатель  можете применять Единые типовые нормы или ранее установленные Типовые нормы. Решение о том, какими нормами руководствоваться работодатель принимает сам. </w:t>
      </w:r>
    </w:p>
    <w:p w14:paraId="05B8508B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С 1 января 2025 г. руководитель будет руководствоваться Едиными типовыми нормами утвержденными Приказом Минтруда России от 29.10.2021 № 767н. При разработке и утверждении норм выдачи СИЗ необходимо учесть результаты СОУТ и оценки профрисков, мнение выборного органа первичной профорганизации (иного представительного органа работников) (при наличии), требования по охране труда, положения паспортов безопасности при работе с химическими веществами и т.д. (ч. 4 ст. 221 ТК РФ, п. п. 10, 14 Правил обеспечения работников СИЗ и смывающими средствами).</w:t>
      </w:r>
    </w:p>
    <w:p w14:paraId="0AF68D8F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Нормы выдачи СИЗ, утвержденные в организации, должны обеспечивать равноценную (в том числе в случае замены СИЗ) или превосходящую (за счет расширения номенклатуры или увеличения количества выдаваемых СИЗ либо за счет выдачи СИЗ с более широким спектром защитных свойств) по сравнению с Едиными типовыми нормами защиту работников от вредных и (или) опасных производственных факторов и опасностей, выявленных при проведении СОУТ и оценки профрисков (п. 16 Правил обеспечения работников СИЗ и смывающими средствами).</w:t>
      </w:r>
    </w:p>
    <w:p w14:paraId="2FA16F1B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По мнению Минтруда России, средства индивидуальной защиты, которые предусмотрены Едиными типовыми нормами выдачи средств индивидуальной защиты по профессиям (должностям), являются минимальным объемом СИЗ, которые вы обязаны выдать.</w:t>
      </w:r>
    </w:p>
    <w:p w14:paraId="5F303593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Также министерство отметило, что СИЗ, которые предусмотрены другими Едиными типовыми нормами, утвержденными Приказом Минтруда России от 29.10.2021  № 767н, выдаются работнику исходя из необходимости применения этих средств с учетом совокупности защитных свойств. Вы можете выбирать виды и конструкции СИЗ, которые больше соответствуют условиям труда работников. При этом нужно учитывать выявленные вредные и (или) опасные производственные факторы, а также опасности, установленные по результатам СОУТ и оценки профессиональных рисков.</w:t>
      </w:r>
    </w:p>
    <w:p w14:paraId="57842F47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 xml:space="preserve">Определите потребность в СИЗ в зависимости от профессий (должностей) работников. </w:t>
      </w:r>
    </w:p>
    <w:p w14:paraId="05169FB2" w14:textId="77777777" w:rsidR="00711453" w:rsidRP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Нормы выдачи смывающих средств  устанавливает работодатель. Работодатель  должен разработать их на основе Единых типовых норм и закрепить в том же локальном нормативном акте, которым утверждены нормы выдачи СИЗ, при этом учитывая требования к их установлению, которые содержатся в Правилах обеспечения работников СИЗ и смывающими средствами. В частности, примите во внимание результаты СОУТ и оценки профрисков, мнение выборного органа первичной профорганизации (иного представительного органа работников) (при наличии) (ч. 4 ст. 221 ТК РФ, п. п. 10, 14 названных Правил).</w:t>
      </w:r>
    </w:p>
    <w:p w14:paraId="750D9784" w14:textId="77777777" w:rsid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711453">
        <w:rPr>
          <w:rFonts w:ascii="Times New Roman" w:hAnsi="Times New Roman" w:cs="Times New Roman"/>
        </w:rPr>
        <w:t>Согласно Единым типовым нормам смывающие средства выдаются один раз в месяц в количестве, которое зависит от вида работ и характера производственных загрязнений.</w:t>
      </w:r>
    </w:p>
    <w:p w14:paraId="766CA83A" w14:textId="46BAFE7C" w:rsidR="00FA159F" w:rsidRDefault="00FA159F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FA159F">
        <w:rPr>
          <w:rFonts w:ascii="Times New Roman" w:hAnsi="Times New Roman" w:cs="Times New Roman"/>
        </w:rPr>
        <w:t xml:space="preserve">Решили: </w:t>
      </w:r>
      <w:r w:rsidR="00E33724">
        <w:rPr>
          <w:rFonts w:ascii="Times New Roman" w:hAnsi="Times New Roman" w:cs="Times New Roman"/>
        </w:rPr>
        <w:t xml:space="preserve">принять к сведению информацию по  </w:t>
      </w:r>
      <w:r w:rsidR="00611F3E">
        <w:rPr>
          <w:rFonts w:ascii="Times New Roman" w:hAnsi="Times New Roman" w:cs="Times New Roman"/>
        </w:rPr>
        <w:t>изменениям в</w:t>
      </w:r>
      <w:r w:rsidR="00611F3E" w:rsidRPr="00611F3E">
        <w:t xml:space="preserve"> </w:t>
      </w:r>
      <w:r w:rsidR="00611F3E" w:rsidRPr="00611F3E">
        <w:rPr>
          <w:rFonts w:ascii="Times New Roman" w:hAnsi="Times New Roman" w:cs="Times New Roman"/>
        </w:rPr>
        <w:t>обучении по охране труда с 1 марта 2023 года</w:t>
      </w:r>
      <w:r w:rsidR="00611F3E">
        <w:rPr>
          <w:rFonts w:ascii="Times New Roman" w:hAnsi="Times New Roman" w:cs="Times New Roman"/>
        </w:rPr>
        <w:t>.</w:t>
      </w:r>
    </w:p>
    <w:p w14:paraId="0EC1A83A" w14:textId="365F6FFE" w:rsidR="00711453" w:rsidRDefault="00711453" w:rsidP="00711453">
      <w:pPr>
        <w:pStyle w:val="a4"/>
        <w:ind w:left="0" w:firstLine="360"/>
        <w:jc w:val="both"/>
        <w:rPr>
          <w:rFonts w:ascii="Times New Roman" w:hAnsi="Times New Roman" w:cs="Times New Roman"/>
        </w:rPr>
      </w:pPr>
    </w:p>
    <w:p w14:paraId="147A429F" w14:textId="5F9094F7" w:rsidR="00815436" w:rsidRPr="00815436" w:rsidRDefault="00815436" w:rsidP="0081543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815436">
        <w:rPr>
          <w:rFonts w:ascii="Times New Roman" w:hAnsi="Times New Roman" w:cs="Times New Roman"/>
        </w:rPr>
        <w:t>В 2024 году планируется внести изменения в 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(Проект приказа Минтруда России (подготовлен 06.12.2023)).</w:t>
      </w:r>
    </w:p>
    <w:p w14:paraId="315A88A8" w14:textId="77777777" w:rsidR="00815436" w:rsidRPr="00815436" w:rsidRDefault="00815436" w:rsidP="00815436">
      <w:pPr>
        <w:pStyle w:val="a4"/>
        <w:ind w:left="0" w:firstLine="708"/>
        <w:jc w:val="both"/>
        <w:rPr>
          <w:rFonts w:ascii="Times New Roman" w:hAnsi="Times New Roman" w:cs="Times New Roman"/>
        </w:rPr>
      </w:pPr>
      <w:r w:rsidRPr="00815436">
        <w:rPr>
          <w:rFonts w:ascii="Times New Roman" w:hAnsi="Times New Roman" w:cs="Times New Roman"/>
        </w:rPr>
        <w:t>В частности, в перечень предупредительных мер будет добавлено новое мероприятие - проведение оценки профессиональных рисков, которое необходимо проводить  руководителям предприятий на основании ст. 218 Трудового кодекса Российской Федерации.</w:t>
      </w:r>
    </w:p>
    <w:p w14:paraId="29B36DDE" w14:textId="3F14BF82" w:rsidR="00815436" w:rsidRPr="00815436" w:rsidRDefault="00815436" w:rsidP="00815436">
      <w:pPr>
        <w:pStyle w:val="a4"/>
        <w:ind w:left="0" w:firstLine="708"/>
        <w:jc w:val="both"/>
        <w:rPr>
          <w:rFonts w:ascii="Times New Roman" w:hAnsi="Times New Roman" w:cs="Times New Roman"/>
        </w:rPr>
      </w:pPr>
      <w:r w:rsidRPr="00815436">
        <w:rPr>
          <w:rFonts w:ascii="Times New Roman" w:hAnsi="Times New Roman" w:cs="Times New Roman"/>
        </w:rPr>
        <w:t>При осуществлении расходов на оценку профрисков для их возмещения потребуется копия договора с организацией, проводившей оценку, и сведения о результатах СОУТ на рабочих местах, в отношении которых проводилась оценка профрисков.</w:t>
      </w:r>
      <w:r>
        <w:rPr>
          <w:rFonts w:ascii="Times New Roman" w:hAnsi="Times New Roman" w:cs="Times New Roman"/>
        </w:rPr>
        <w:t xml:space="preserve"> </w:t>
      </w:r>
      <w:r w:rsidRPr="00815436">
        <w:rPr>
          <w:rFonts w:ascii="Times New Roman" w:hAnsi="Times New Roman" w:cs="Times New Roman"/>
        </w:rPr>
        <w:t>Появятся новые правила:</w:t>
      </w:r>
      <w:r>
        <w:rPr>
          <w:rFonts w:ascii="Times New Roman" w:hAnsi="Times New Roman" w:cs="Times New Roman"/>
        </w:rPr>
        <w:t xml:space="preserve"> </w:t>
      </w:r>
      <w:r w:rsidRPr="00815436">
        <w:rPr>
          <w:rFonts w:ascii="Times New Roman" w:hAnsi="Times New Roman" w:cs="Times New Roman"/>
        </w:rPr>
        <w:t>страхователь до 1 июня текущего года заявляет о своем намерении использовать средства бюджета, для чего направляет в СФР заявление с указанием суммы в пределах расчетного объема средств;</w:t>
      </w:r>
    </w:p>
    <w:p w14:paraId="638AA607" w14:textId="77777777" w:rsidR="00815436" w:rsidRPr="00815436" w:rsidRDefault="00815436" w:rsidP="00815436">
      <w:pPr>
        <w:pStyle w:val="a4"/>
        <w:ind w:left="0"/>
        <w:jc w:val="both"/>
        <w:rPr>
          <w:rFonts w:ascii="Times New Roman" w:hAnsi="Times New Roman" w:cs="Times New Roman"/>
        </w:rPr>
      </w:pPr>
      <w:r w:rsidRPr="00815436">
        <w:rPr>
          <w:rFonts w:ascii="Times New Roman" w:hAnsi="Times New Roman" w:cs="Times New Roman"/>
        </w:rPr>
        <w:t>страхователь самостоятельно определяет перечень осуществляемых в текущем году предупредительных мер с учетом перечня мероприятий по улучшению условий и охраны труда, разработанного по результатам проведения СОУТ, или коллективного договора, или перечня мероприятий по улучшению условий и охраны труда, утвержденного локальным актом.</w:t>
      </w:r>
    </w:p>
    <w:p w14:paraId="06584296" w14:textId="48AFBC3F" w:rsidR="00711453" w:rsidRDefault="00815436" w:rsidP="00815436">
      <w:pPr>
        <w:pStyle w:val="a4"/>
        <w:ind w:left="0"/>
        <w:jc w:val="both"/>
        <w:rPr>
          <w:rFonts w:ascii="Times New Roman" w:hAnsi="Times New Roman" w:cs="Times New Roman"/>
        </w:rPr>
      </w:pPr>
      <w:r w:rsidRPr="00815436">
        <w:rPr>
          <w:rFonts w:ascii="Times New Roman" w:hAnsi="Times New Roman" w:cs="Times New Roman"/>
        </w:rPr>
        <w:t>Будет перенесен срок обращения с заявлением с 1 августа на 15 ноября. К заявлению вместо плана финобеспечения потребуется приложить отчет о произведенных расходах.</w:t>
      </w:r>
    </w:p>
    <w:p w14:paraId="18D58D23" w14:textId="53943FCC" w:rsidR="00815436" w:rsidRDefault="00815436" w:rsidP="00815436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796044E8" w14:textId="1A03ABEE" w:rsidR="00815436" w:rsidRDefault="00815436" w:rsidP="00815436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принять к сведению информацию по правилам финансового обеспечения предупредительных мер по сокращению производственного травматизма</w:t>
      </w:r>
    </w:p>
    <w:p w14:paraId="19E78ACD" w14:textId="62C49CEF" w:rsidR="00815436" w:rsidRDefault="00815436" w:rsidP="00815436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7CB0A9AF" w14:textId="77777777" w:rsidR="002A4A88" w:rsidRPr="002A4A88" w:rsidRDefault="002A4A88" w:rsidP="002A4A88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2A4A88">
        <w:rPr>
          <w:rFonts w:ascii="Times New Roman" w:hAnsi="Times New Roman" w:cs="Times New Roman"/>
        </w:rPr>
        <w:t xml:space="preserve">По  5 вопросу слушали Покровскую Э.К.: Покровская Э.К.  довела до сведения участников заседания о результатах контрольно-надзорной деятельности за 2023 год в разрезе видов муниципального контроля. Наибольшее количество предостережений вынесено в области муниципального земельного контроля – 162. Основанием послужило во всех случаях наличие признаков неиспользование земельных участков по целевому назначению. Так, в рамках реализации государственных программ по обеспечению земельными участками граждан на протяжении 8 лет предоставляются земельные участки под индивидуальную жилую застройку (например, такой категории как многодетные семьи) которые фактически не используют данные земельные участки, те в свою очередь подвергаются зарастанию сорной растительностью, что в весенний период является потенциальной угрозой в пожароопасный период. Особенно остро обстоит ситуация на улице Лесной с.Чугуевка. </w:t>
      </w:r>
    </w:p>
    <w:p w14:paraId="206A8BF9" w14:textId="77777777" w:rsidR="002A4A88" w:rsidRPr="002A4A88" w:rsidRDefault="002A4A88" w:rsidP="002A4A88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2A4A88">
        <w:rPr>
          <w:rFonts w:ascii="Times New Roman" w:hAnsi="Times New Roman" w:cs="Times New Roman"/>
        </w:rPr>
        <w:tab/>
        <w:t>С учетом изменений в Постановление Правительства РФ № 336, в рамках муниципального контроля в сфере благоустройства в 2023 году проведено 70 выездных обследований, объявлено 17 предостережений, выдано 30 предписаний, составлено 4 протокола за неисполнение предписания муниципального инспектора.</w:t>
      </w:r>
    </w:p>
    <w:p w14:paraId="2BC55B16" w14:textId="08C71CFE" w:rsidR="00815436" w:rsidRDefault="002A4A88" w:rsidP="002A4A88">
      <w:pPr>
        <w:pStyle w:val="a4"/>
        <w:ind w:left="0" w:firstLine="360"/>
        <w:jc w:val="both"/>
        <w:rPr>
          <w:rFonts w:ascii="Times New Roman" w:hAnsi="Times New Roman" w:cs="Times New Roman"/>
        </w:rPr>
      </w:pPr>
      <w:r w:rsidRPr="002A4A88">
        <w:rPr>
          <w:rFonts w:ascii="Times New Roman" w:hAnsi="Times New Roman" w:cs="Times New Roman"/>
        </w:rPr>
        <w:tab/>
        <w:t>Покровская Э.К. рассказала об исполнении программы профилактики на 2023 год и о ключевых моментах программы профилактики на 2024 год.</w:t>
      </w:r>
    </w:p>
    <w:p w14:paraId="59AFEEEC" w14:textId="4D6DCBD8" w:rsidR="002A4A88" w:rsidRDefault="002A4A88" w:rsidP="002A4A88">
      <w:pPr>
        <w:pStyle w:val="a4"/>
        <w:ind w:left="0" w:firstLine="360"/>
        <w:jc w:val="both"/>
        <w:rPr>
          <w:rFonts w:ascii="Times New Roman" w:hAnsi="Times New Roman" w:cs="Times New Roman"/>
        </w:rPr>
      </w:pPr>
    </w:p>
    <w:p w14:paraId="0831FDD5" w14:textId="1E6A126E" w:rsidR="002A4A88" w:rsidRDefault="002A4A88" w:rsidP="002A4A88">
      <w:pPr>
        <w:pStyle w:val="a4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принять к сведению итоги работы по контрольно – надзорной деятельности за 2023 год.</w:t>
      </w: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58ABFE78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A88">
        <w:rPr>
          <w:rFonts w:ascii="Times New Roman" w:hAnsi="Times New Roman" w:cs="Times New Roman"/>
          <w:sz w:val="24"/>
          <w:szCs w:val="24"/>
        </w:rPr>
        <w:t>Н.В. Кузьменчук</w:t>
      </w:r>
      <w:bookmarkStart w:id="0" w:name="_GoBack"/>
      <w:bookmarkEnd w:id="0"/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М.В.Дьяченко</w:t>
      </w:r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47A83"/>
    <w:rsid w:val="00190172"/>
    <w:rsid w:val="00226A93"/>
    <w:rsid w:val="002810D5"/>
    <w:rsid w:val="002930A6"/>
    <w:rsid w:val="002A4A88"/>
    <w:rsid w:val="002F3D30"/>
    <w:rsid w:val="00320E7D"/>
    <w:rsid w:val="003B7BFD"/>
    <w:rsid w:val="00430030"/>
    <w:rsid w:val="00481514"/>
    <w:rsid w:val="00503CB1"/>
    <w:rsid w:val="00561411"/>
    <w:rsid w:val="005D73CF"/>
    <w:rsid w:val="00611F3E"/>
    <w:rsid w:val="006254BC"/>
    <w:rsid w:val="00630C60"/>
    <w:rsid w:val="00664EF8"/>
    <w:rsid w:val="00684025"/>
    <w:rsid w:val="006B1ED2"/>
    <w:rsid w:val="00711453"/>
    <w:rsid w:val="00712B97"/>
    <w:rsid w:val="00732823"/>
    <w:rsid w:val="007919E3"/>
    <w:rsid w:val="007B3A48"/>
    <w:rsid w:val="007B4AC8"/>
    <w:rsid w:val="007D6FC2"/>
    <w:rsid w:val="00804E3C"/>
    <w:rsid w:val="00815436"/>
    <w:rsid w:val="0085068E"/>
    <w:rsid w:val="00887C13"/>
    <w:rsid w:val="008D2D59"/>
    <w:rsid w:val="00900BD5"/>
    <w:rsid w:val="00925616"/>
    <w:rsid w:val="009E799A"/>
    <w:rsid w:val="00A31EBC"/>
    <w:rsid w:val="00A61F4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65674"/>
    <w:rsid w:val="00DF3379"/>
    <w:rsid w:val="00E33724"/>
    <w:rsid w:val="00E46E7F"/>
    <w:rsid w:val="00E70826"/>
    <w:rsid w:val="00EA2C83"/>
    <w:rsid w:val="00EE40F5"/>
    <w:rsid w:val="00F109D4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guevsky.ru/administraciya/razvitie-konkuren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DiachenkoMV</cp:lastModifiedBy>
  <cp:revision>8</cp:revision>
  <cp:lastPrinted>2019-09-30T08:23:00Z</cp:lastPrinted>
  <dcterms:created xsi:type="dcterms:W3CDTF">2024-01-30T06:00:00Z</dcterms:created>
  <dcterms:modified xsi:type="dcterms:W3CDTF">2024-02-08T06:33:00Z</dcterms:modified>
</cp:coreProperties>
</file>