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820" w:leader="none"/>
        </w:tabs>
        <w:rPr>
          <w:lang w:val="en-US" w:eastAsia="en-US"/>
        </w:rPr>
      </w:pPr>
      <w:r>
        <w:rPr>
          <w:lang w:val="en-US" w:eastAsia="en-US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9" t="-39" r="-59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>
      <w:pPr>
        <w:pStyle w:val="Normal"/>
        <w:jc w:val="center"/>
        <w:rPr/>
      </w:pPr>
      <w:r>
        <w:rPr>
          <w:b/>
          <w:spacing w:val="40"/>
          <w:sz w:val="32"/>
        </w:rPr>
        <w:t>ЧУГУЕВСКОГО МУНИЦИПАЛЬНОГО ОКРУГА</w:t>
      </w:r>
    </w:p>
    <w:p>
      <w:pPr>
        <w:pStyle w:val="Normal"/>
        <w:jc w:val="center"/>
        <w:rPr>
          <w:b/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>
      <w:pPr>
        <w:pStyle w:val="Normal"/>
        <w:jc w:val="center"/>
        <w:rPr>
          <w:b/>
          <w:b/>
          <w:spacing w:val="80"/>
          <w:sz w:val="16"/>
        </w:rPr>
      </w:pPr>
      <w:r>
        <w:rPr>
          <w:b/>
          <w:spacing w:val="80"/>
          <w:sz w:val="16"/>
        </w:rPr>
      </w:r>
    </w:p>
    <w:p>
      <w:pPr>
        <w:pStyle w:val="Normal"/>
        <w:jc w:val="center"/>
        <w:rPr>
          <w:b/>
          <w:b/>
          <w:spacing w:val="80"/>
          <w:sz w:val="16"/>
        </w:rPr>
      </w:pPr>
      <w:r>
        <w:rPr>
          <w:b/>
          <w:spacing w:val="80"/>
          <w:sz w:val="16"/>
        </w:rPr>
      </w:r>
    </w:p>
    <w:p>
      <w:pPr>
        <w:pStyle w:val="Normal"/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>
      <w:pPr>
        <w:pStyle w:val="Normal"/>
        <w:jc w:val="center"/>
        <w:rPr>
          <w:spacing w:val="70"/>
          <w:sz w:val="16"/>
          <w:szCs w:val="16"/>
        </w:rPr>
      </w:pPr>
      <w:r>
        <w:rPr>
          <w:spacing w:val="70"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6"/>
          <w:szCs w:val="26"/>
          <w:u w:val="single"/>
        </w:rPr>
      </w:pPr>
      <w:r>
        <w:rPr>
          <w:szCs w:val="22"/>
        </w:rPr>
        <w:t xml:space="preserve">_______________                     с. Чугуевка    </w:t>
      </w:r>
      <w:r>
        <w:rPr/>
        <w:t xml:space="preserve">                            № ________</w:t>
      </w:r>
    </w:p>
    <w:p>
      <w:pPr>
        <w:pStyle w:val="Normal"/>
        <w:jc w:val="both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tabs>
          <w:tab w:val="clear" w:pos="708"/>
          <w:tab w:val="left" w:pos="4820" w:leader="none"/>
          <w:tab w:val="left" w:pos="963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Чугуевского муниципального округа от 18 ноября 2020 года № 182-НПА «Об утверждении примерного положения об оплате труда работников муниципальных учреждений Чугуевского муниципального округа по виду экономической деятельности «Культура»</w:t>
      </w:r>
    </w:p>
    <w:p>
      <w:pPr>
        <w:pStyle w:val="Normal"/>
        <w:tabs>
          <w:tab w:val="clear" w:pos="708"/>
          <w:tab w:val="left" w:pos="4678" w:leader="none"/>
        </w:tabs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708"/>
          <w:tab w:val="left" w:pos="4678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144, 145 Трудового кодекса Российской Федерации, руководствуясь едиными рекомендациями по установлению на федеральном, региональном и местном уровнях системы оплаты труда работников государственных и муниципальных учреждений, утвержденных решением Российской трехсторонней комиссии по регулированию социально-трудовых отношений, статьей 43 Устава Чугуевского муниципального округа, администрация Чугуевского муниципального округа,</w:t>
      </w:r>
    </w:p>
    <w:p>
      <w:pPr>
        <w:pStyle w:val="Normal"/>
        <w:spacing w:lineRule="auto" w:line="27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76"/>
        <w:rPr/>
      </w:pPr>
      <w:r>
        <w:rPr>
          <w:sz w:val="26"/>
          <w:szCs w:val="26"/>
        </w:rPr>
        <w:t>ПОСТАНОВЛЯЕТ:</w:t>
      </w:r>
    </w:p>
    <w:p>
      <w:pPr>
        <w:pStyle w:val="Normal"/>
        <w:tabs>
          <w:tab w:val="clear" w:pos="708"/>
          <w:tab w:val="left" w:pos="4678" w:leader="none"/>
        </w:tabs>
        <w:spacing w:lineRule="auto" w:line="276"/>
        <w:ind w:firstLine="7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27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индексацией окладов работников муниципальных учреждений в 1,039 раза с 01 октября 2021 года внести изменение в постановление администрации Чугуевского муниципального округа от 18 ноября 2020 года № 182-НПА «Об утверждении примерного положения об оплате труда работников муниципальных учреждений Чугуевского муниципального округа по виду экономической деятельности «Культура», изложив приложение №2 в новой редакции.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Настоящее постановление подлежит официальному опубликованию и размещению на официальном сайте Чугуевского муниципального округа в информационно-телекоммуникационной сети «Интернет».</w:t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4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85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округа,</w:t>
            </w:r>
          </w:p>
          <w:p>
            <w:pPr>
              <w:pStyle w:val="Normal"/>
              <w:spacing w:lineRule="auto" w:line="2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485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7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auto" w:line="27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 Ю. Деменев</w:t>
            </w:r>
          </w:p>
        </w:tc>
      </w:tr>
    </w:tbl>
    <w:p>
      <w:pPr>
        <w:pStyle w:val="Normal"/>
        <w:ind w:firstLine="709"/>
        <w:jc w:val="right"/>
        <w:rPr/>
      </w:pPr>
      <w:r>
        <w:rPr/>
      </w:r>
      <w:r>
        <w:br w:type="page"/>
      </w:r>
    </w:p>
    <w:p>
      <w:pPr>
        <w:pStyle w:val="Normal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>
      <w:pPr>
        <w:pStyle w:val="Normal"/>
        <w:jc w:val="right"/>
        <w:rPr/>
      </w:pPr>
      <w:r>
        <w:rPr>
          <w:sz w:val="26"/>
          <w:szCs w:val="26"/>
        </w:rPr>
        <w:t>Чугуевского муниципального округа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>от _____________ № _______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Минимальные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оклады работников муниципальных учреждений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Чугуевского муниципального округа по виду экономической деятельности «Культура»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9580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423"/>
        <w:gridCol w:w="3059"/>
        <w:gridCol w:w="1250"/>
      </w:tblGrid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профессиональных квалификационных групп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должности/профессии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Размеры окладов, рублей</w:t>
            </w:r>
          </w:p>
        </w:tc>
      </w:tr>
      <w:tr>
        <w:trPr/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Размеры окладов должностей работников культуры, искусства муниципальных учреждений Чугуевского муниципального округа по виду экономической деятельности «Культура»</w:t>
            </w:r>
          </w:p>
        </w:tc>
      </w:tr>
      <w:tr>
        <w:trPr/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руководителей (АУП)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(начальник)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(начальника)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11023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9718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9718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9022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Должности руководящего состава учреждений культуры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ДК, СК, библиотеки, филиалом библиотеки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руководитель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отделом (сектором) библиотеки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Режиссер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Балетмейстер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Звукорежиссер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9144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7170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7481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7170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7170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7170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работников культуры ведущего звена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Концертмейстер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Художник-декоратор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 библиотеки, клубного учреждения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Библиотекарь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Звукооператор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клубного формирования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5864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работников культуры среднего звена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костюмерной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Культорганизатор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5195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технических исполнителей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Контролер билетов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4003</w:t>
            </w:r>
          </w:p>
        </w:tc>
      </w:tr>
      <w:tr>
        <w:trPr/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>
                <w:sz w:val="26"/>
                <w:szCs w:val="26"/>
              </w:rPr>
              <w:t>Размеры окладов общеотраслевых должностей руководителей, специалистов, служащих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должности служащих  первого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закупкам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5033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5681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должности служащих  второго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Художник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5045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6238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должности служащих  третьего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охране труда, бухгалтер, программист, энергетик, специалист по кадрам, экономист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6798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внутридолжностная  категория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7231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внутридолжностная  категория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7604</w:t>
            </w:r>
          </w:p>
        </w:tc>
      </w:tr>
      <w:tr>
        <w:trPr/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Размеры окладов по профессиональным квалификационным группам общеотраслевых профессий рабочих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профессий рабочих, по которым предусмотрено присвоение 1, 2, 3 квалификационных разрядов в соответствии с Единым тарифно-квалификационным справочником работ и профессий рабочих: гардеробщик, истопник, кочегар производственных печей, сторож (вахтер), уборщик производственных и служебных помещений, подсобный рабочий, рабочий по комплексному обслуживанию и ремонту  зданий, слесарь-сантехник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4003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4627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электромонтер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6081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6217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профессий рабочих, по которым предусмотрено присвоение 8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6403</w:t>
            </w:r>
          </w:p>
        </w:tc>
      </w:tr>
      <w:tr>
        <w:trPr/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br w:type="page"/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701" w:right="85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018" w:hanging="450"/>
      </w:pPr>
      <w:rPr/>
    </w:lvl>
    <w:lvl w:ilvl="2">
      <w:start w:val="1"/>
      <w:numFmt w:val="decimal"/>
      <w:lvlText w:val="%1.%2.%3"/>
      <w:lvlJc w:val="left"/>
      <w:pPr>
        <w:ind w:left="1430" w:hanging="720"/>
      </w:pPr>
      <w:rPr/>
    </w:lvl>
    <w:lvl w:ilvl="3">
      <w:start w:val="1"/>
      <w:numFmt w:val="decimal"/>
      <w:lvlText w:val="%1.%2.%3.%4"/>
      <w:lvlJc w:val="left"/>
      <w:pPr>
        <w:ind w:left="1790" w:hanging="1080"/>
      </w:pPr>
      <w:rPr/>
    </w:lvl>
    <w:lvl w:ilvl="4">
      <w:start w:val="1"/>
      <w:numFmt w:val="decimal"/>
      <w:lvlText w:val="%1.%2.%3.%4.%5"/>
      <w:lvlJc w:val="left"/>
      <w:pPr>
        <w:ind w:left="1790" w:hanging="1080"/>
      </w:pPr>
      <w:rPr/>
    </w:lvl>
    <w:lvl w:ilvl="5">
      <w:start w:val="1"/>
      <w:numFmt w:val="decimal"/>
      <w:lvlText w:val="%1.%2.%3.%4.%5.%6"/>
      <w:lvlJc w:val="left"/>
      <w:pPr>
        <w:ind w:left="2150" w:hanging="1440"/>
      </w:pPr>
      <w:rPr/>
    </w:lvl>
    <w:lvl w:ilvl="6">
      <w:start w:val="1"/>
      <w:numFmt w:val="decimal"/>
      <w:lvlText w:val="%1.%2.%3.%4.%5.%6.%7"/>
      <w:lvlJc w:val="left"/>
      <w:pPr>
        <w:ind w:left="2150" w:hanging="1440"/>
      </w:pPr>
      <w:rPr/>
    </w:lvl>
    <w:lvl w:ilvl="7">
      <w:start w:val="1"/>
      <w:numFmt w:val="decimal"/>
      <w:lvlText w:val="%1.%2.%3.%4.%5.%6.%7.%8"/>
      <w:lvlJc w:val="left"/>
      <w:pPr>
        <w:ind w:left="2510" w:hanging="1800"/>
      </w:pPr>
      <w:rPr/>
    </w:lvl>
    <w:lvl w:ilvl="8">
      <w:start w:val="1"/>
      <w:numFmt w:val="decimal"/>
      <w:lvlText w:val="%1.%2.%3.%4.%5.%6.%7.%8.%9"/>
      <w:lvlJc w:val="left"/>
      <w:pPr>
        <w:ind w:left="2870" w:hanging="216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sz w:val="28"/>
      <w:szCs w:val="28"/>
    </w:rPr>
  </w:style>
  <w:style w:type="character" w:styleId="WW8Num29z1">
    <w:name w:val="WW8Num29z1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(нов.инстр)</Template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2021-09-22T05:00:00Z</dcterms:created>
  <dc:creator>User</dc:creator>
  <dc:description/>
  <dc:language>en-US</dc:language>
  <cp:lastModifiedBy>budg1</cp:lastModifiedBy>
  <cp:lastPrinted>2021-09-20T14:55:00Z</cp:lastPrinted>
  <dcterms:modified xsi:type="dcterms:W3CDTF">2021-09-22T05:00:00Z</dcterms:modified>
  <cp:revision>2</cp:revision>
  <dc:subject/>
  <dc:title/>
</cp:coreProperties>
</file>