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7F" w:rsidRPr="0005477F" w:rsidRDefault="0005477F" w:rsidP="0005477F">
      <w:pPr>
        <w:shd w:val="clear" w:color="auto" w:fill="FFFFFF"/>
        <w:spacing w:after="255" w:line="240" w:lineRule="atLeast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05477F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>Вопрос</w:t>
      </w:r>
      <w:r w:rsidRPr="0005477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? На рабочем месте проведена специальная оценка труда, по результатам которой изменился подкласс условий труда: до специальной оценки был 3.2, после специальной оценки стал 3.1. Ранее у работника были льготы за работу по классу/подклассу 3.2 - дополнительный отпуск и доплата за работу во вредных условиях труда. Правильно ли поступит работодатель, если после соответствующего уведомления работника, через два месяца после специальной оценки и установления класса/подкласса 3.1 отменит льготу в виде дополнительного отпуска?</w:t>
      </w:r>
    </w:p>
    <w:p w:rsidR="0005477F" w:rsidRPr="0005477F" w:rsidRDefault="0005477F" w:rsidP="0005477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7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Ответ. </w:t>
      </w:r>
      <w:r w:rsidRPr="0005477F">
        <w:rPr>
          <w:rFonts w:ascii="Times New Roman" w:hAnsi="Times New Roman" w:cs="Times New Roman"/>
          <w:sz w:val="28"/>
          <w:szCs w:val="28"/>
          <w:lang w:eastAsia="ru-RU"/>
        </w:rPr>
        <w:t xml:space="preserve">Из-за уменьшения итогового класса (подкласса) с 3.2 до 3.1 работникам должна предоставляться только дополнительная компенсация в виде повышенной оплаты труда. Факт того, что итоговый класс снизился по причине </w:t>
      </w:r>
      <w:proofErr w:type="gramStart"/>
      <w:r w:rsidRPr="0005477F">
        <w:rPr>
          <w:rFonts w:ascii="Times New Roman" w:hAnsi="Times New Roman" w:cs="Times New Roman"/>
          <w:sz w:val="28"/>
          <w:szCs w:val="28"/>
          <w:lang w:eastAsia="ru-RU"/>
        </w:rPr>
        <w:t>изменения методики проведения оценки условий труда</w:t>
      </w:r>
      <w:proofErr w:type="gramEnd"/>
      <w:r w:rsidRPr="0005477F">
        <w:rPr>
          <w:rFonts w:ascii="Times New Roman" w:hAnsi="Times New Roman" w:cs="Times New Roman"/>
          <w:sz w:val="28"/>
          <w:szCs w:val="28"/>
          <w:lang w:eastAsia="ru-RU"/>
        </w:rPr>
        <w:t xml:space="preserve"> без фактического изменения факторов производственной среды и трудового процесса, не ограничивает работодателя в его праве предоставлять компенсации и гарантии за работу во вредных и (или) опасных условиях труда согласно действующему законодательству. Условие трудового договора о предоставлении дополнительного отпуска может быть исключено либо по соглашению сторон в порядке </w:t>
      </w:r>
      <w:hyperlink r:id="rId6" w:anchor="block_72" w:history="1">
        <w:r w:rsidRPr="0005477F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72</w:t>
        </w:r>
      </w:hyperlink>
      <w:r w:rsidRPr="0005477F">
        <w:rPr>
          <w:rFonts w:ascii="Times New Roman" w:hAnsi="Times New Roman" w:cs="Times New Roman"/>
          <w:sz w:val="28"/>
          <w:szCs w:val="28"/>
          <w:lang w:eastAsia="ru-RU"/>
        </w:rPr>
        <w:t> ТК РФ, либо по инициативе работодателя в порядке, предусмотренном </w:t>
      </w:r>
      <w:hyperlink r:id="rId7" w:anchor="block_74" w:history="1">
        <w:r w:rsidRPr="0005477F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74</w:t>
        </w:r>
      </w:hyperlink>
      <w:r w:rsidRPr="0005477F">
        <w:rPr>
          <w:rFonts w:ascii="Times New Roman" w:hAnsi="Times New Roman" w:cs="Times New Roman"/>
          <w:sz w:val="28"/>
          <w:szCs w:val="28"/>
          <w:lang w:eastAsia="ru-RU"/>
        </w:rPr>
        <w:t xml:space="preserve"> ТК РФ, с обязательным уведомлением работника в письменной форме не </w:t>
      </w:r>
      <w:proofErr w:type="gramStart"/>
      <w:r w:rsidRPr="0005477F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5477F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два месяца.</w:t>
      </w:r>
    </w:p>
    <w:p w:rsidR="0005477F" w:rsidRPr="0005477F" w:rsidRDefault="0005477F" w:rsidP="0005477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7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Обоснование вывода: </w:t>
      </w:r>
      <w:r w:rsidRPr="0005477F">
        <w:rPr>
          <w:rFonts w:ascii="Times New Roman" w:hAnsi="Times New Roman" w:cs="Times New Roman"/>
          <w:sz w:val="28"/>
          <w:szCs w:val="28"/>
          <w:lang w:eastAsia="ru-RU"/>
        </w:rPr>
        <w:t>Для работников, занятых на работах с вредными и опасными условиями труда, трудовым законодательством предусмотрены следующие дополнительные гарантии и компенсации:</w:t>
      </w:r>
    </w:p>
    <w:p w:rsidR="0005477F" w:rsidRPr="0005477F" w:rsidRDefault="0005477F" w:rsidP="0005477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77F">
        <w:rPr>
          <w:rFonts w:ascii="Times New Roman" w:hAnsi="Times New Roman" w:cs="Times New Roman"/>
          <w:sz w:val="28"/>
          <w:szCs w:val="28"/>
          <w:lang w:eastAsia="ru-RU"/>
        </w:rPr>
        <w:t xml:space="preserve">- ежегодный дополнительный оплачиваемый отпуск, который предоставляется работникам, условия </w:t>
      </w:r>
      <w:proofErr w:type="gramStart"/>
      <w:r w:rsidRPr="0005477F">
        <w:rPr>
          <w:rFonts w:ascii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05477F">
        <w:rPr>
          <w:rFonts w:ascii="Times New Roman" w:hAnsi="Times New Roman" w:cs="Times New Roman"/>
          <w:sz w:val="28"/>
          <w:szCs w:val="28"/>
          <w:lang w:eastAsia="ru-RU"/>
        </w:rPr>
        <w:t xml:space="preserve"> на рабочих местах которых по результатам специальной оценки условий труда (далее - СУОТ) отнесены к вредным условиям труда 2, 3 или 4 степени либо опасным условиям труда (часть первая ст. 116, часть первая </w:t>
      </w:r>
      <w:hyperlink r:id="rId8" w:anchor="block_117" w:history="1">
        <w:r w:rsidRPr="0005477F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117</w:t>
        </w:r>
      </w:hyperlink>
      <w:r w:rsidRPr="0005477F">
        <w:rPr>
          <w:rFonts w:ascii="Times New Roman" w:hAnsi="Times New Roman" w:cs="Times New Roman"/>
          <w:sz w:val="28"/>
          <w:szCs w:val="28"/>
          <w:lang w:eastAsia="ru-RU"/>
        </w:rPr>
        <w:t> ТК РФ);</w:t>
      </w:r>
    </w:p>
    <w:p w:rsidR="0005477F" w:rsidRPr="0005477F" w:rsidRDefault="0005477F" w:rsidP="0005477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77F">
        <w:rPr>
          <w:rFonts w:ascii="Times New Roman" w:hAnsi="Times New Roman" w:cs="Times New Roman"/>
          <w:sz w:val="28"/>
          <w:szCs w:val="28"/>
          <w:lang w:eastAsia="ru-RU"/>
        </w:rPr>
        <w:t xml:space="preserve">    - сокращенное рабочее время, право на которое имеют работники, условия </w:t>
      </w:r>
      <w:proofErr w:type="gramStart"/>
      <w:r w:rsidRPr="0005477F">
        <w:rPr>
          <w:rFonts w:ascii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05477F">
        <w:rPr>
          <w:rFonts w:ascii="Times New Roman" w:hAnsi="Times New Roman" w:cs="Times New Roman"/>
          <w:sz w:val="28"/>
          <w:szCs w:val="28"/>
          <w:lang w:eastAsia="ru-RU"/>
        </w:rPr>
        <w:t xml:space="preserve"> на рабочих местах которых по результатам СОУТ отнесены к вредным условиям труда 3 или 4 степени или опасным условиям труда (часть первая </w:t>
      </w:r>
      <w:hyperlink r:id="rId9" w:anchor="block_92" w:history="1">
        <w:r w:rsidRPr="0005477F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92</w:t>
        </w:r>
      </w:hyperlink>
      <w:r w:rsidRPr="0005477F">
        <w:rPr>
          <w:rFonts w:ascii="Times New Roman" w:hAnsi="Times New Roman" w:cs="Times New Roman"/>
          <w:sz w:val="28"/>
          <w:szCs w:val="28"/>
          <w:lang w:eastAsia="ru-RU"/>
        </w:rPr>
        <w:t> ТК РФ);</w:t>
      </w:r>
    </w:p>
    <w:p w:rsidR="0005477F" w:rsidRPr="0005477F" w:rsidRDefault="0005477F" w:rsidP="0005477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77F">
        <w:rPr>
          <w:rFonts w:ascii="Times New Roman" w:hAnsi="Times New Roman" w:cs="Times New Roman"/>
          <w:sz w:val="28"/>
          <w:szCs w:val="28"/>
          <w:lang w:eastAsia="ru-RU"/>
        </w:rPr>
        <w:t xml:space="preserve">     - повышенная оплата труда, устанавливаемая всем работникам, условия </w:t>
      </w:r>
      <w:proofErr w:type="gramStart"/>
      <w:r w:rsidRPr="0005477F">
        <w:rPr>
          <w:rFonts w:ascii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05477F">
        <w:rPr>
          <w:rFonts w:ascii="Times New Roman" w:hAnsi="Times New Roman" w:cs="Times New Roman"/>
          <w:sz w:val="28"/>
          <w:szCs w:val="28"/>
          <w:lang w:eastAsia="ru-RU"/>
        </w:rPr>
        <w:t xml:space="preserve"> на рабочих местах которых отнесены к вредным условиям труда любой степени либо опасным условиям труда (</w:t>
      </w:r>
      <w:hyperlink r:id="rId10" w:anchor="block_147" w:history="1">
        <w:r w:rsidRPr="0005477F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147</w:t>
        </w:r>
      </w:hyperlink>
      <w:r w:rsidRPr="0005477F">
        <w:rPr>
          <w:rFonts w:ascii="Times New Roman" w:hAnsi="Times New Roman" w:cs="Times New Roman"/>
          <w:sz w:val="28"/>
          <w:szCs w:val="28"/>
          <w:lang w:eastAsia="ru-RU"/>
        </w:rPr>
        <w:t> ТК РФ).</w:t>
      </w:r>
    </w:p>
    <w:p w:rsidR="0005477F" w:rsidRDefault="0005477F" w:rsidP="0005477F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работникам предусмотренных ТК РФ гарантий и компенсаций за работу во вредных и опасных условиях труда применяются результаты проведения СОУТ либо результаты проведенной до 01.01.2014 аттестации рабочих мест по условиям труда (до истечения срока действия таких результатов) (</w:t>
      </w:r>
      <w:hyperlink r:id="rId11" w:anchor="block_7" w:history="1">
        <w:r w:rsidRPr="0005477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7</w:t>
        </w:r>
      </w:hyperlink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anchor="block_274" w:history="1">
        <w:r w:rsidRPr="0005477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ч. 4 ст. 27</w:t>
        </w:r>
      </w:hyperlink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28.12.2013 № 426-ФЗ "О специальной оценке условий труда", далее - Закон № 426-ФЗ).</w:t>
      </w:r>
      <w:proofErr w:type="gramEnd"/>
    </w:p>
    <w:p w:rsidR="0005477F" w:rsidRDefault="0005477F" w:rsidP="0005477F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 </w:t>
      </w:r>
      <w:hyperlink r:id="rId13" w:anchor="block_153" w:history="1">
        <w:r w:rsidRPr="0005477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частью 3 ст. 15</w:t>
        </w:r>
      </w:hyperlink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28.12.2013 № 421-ФЗ установлено, что при реализации компенсационных мер в соответствии с новой редакцией ТК РФ в отношении работников, занятых на работах с вредными и (или) опасными условиями труда, порядок и условия осуществления таких мер не могут быть ухудшены, а размеры снижены по </w:t>
      </w:r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сравнению с порядком, условиями и размерами фактически реализуемых в</w:t>
      </w:r>
      <w:proofErr w:type="gramEnd"/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указанных работников компенсационных мер по состоянию на день вступления в силу данного Закона (01.01.2014) при условии сохранения соответствующих условий труда на рабочем месте, явившихся основанием для их назначения.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ересмотр уже предоставляемых компенсаций работникам, принятым на работу до 01.01.2014, возможен после проведения специальной оценки и только в случае улучшения условий труда на рабочих местах, то есть уменьшения итогового класса (подкласса) условий труда на рабочем месте (письмо Минтруда России от 15.04.2015 N 15-1/ООГ-2161, п. 12 информации Минтруда России от 29.10.2014 "Типовые вопросы и ответы по специальной оценке условий труда"). </w:t>
      </w:r>
      <w:proofErr w:type="gramStart"/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улучшением условий труда считается уменьшение итогового класса (подкласса) условий труда на рабочем месте (письма Минтруда России от 15.04.2015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15-1/ООГ-2161 и от 26.02.2016 N 15-1/В-601, а также постановление Суда Еврейской автономной области от 23.06.2015 N 4А-29/2015, определение Иркутского областного суда от 31.05.2016 N 33а-6238/2016, определение Самарского областного суда от 20.06.2016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33-7264/2016).</w:t>
      </w:r>
      <w:proofErr w:type="gramEnd"/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Разъяснения, приведенные в </w:t>
      </w:r>
      <w:hyperlink r:id="rId14" w:history="1">
        <w:r w:rsidRPr="0005477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письме</w:t>
        </w:r>
      </w:hyperlink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21.08.2015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ТЗ/18930-3-3, позволяют заключить, что, по мнению чиновников, причина уменьшения итогового класса (подкласса) условий труда на рабочем месте не имеет правового значения для решения вопроса о возможности изменить уровень предоставляемых гарантий и компенсаций. Даже если класс (подкласс) снизился в результате изменения методики проведения оценки без фактического изменения факторов производственной среды и трудового процесса, работодатель вправе установить работникам рабочее время, отпуск и доплату в соответствии с действующим законодательством.</w:t>
      </w:r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Поскольку в рассматриваемом случае класс условий труда по результатам </w:t>
      </w:r>
      <w:proofErr w:type="gramStart"/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</w:t>
      </w:r>
      <w:proofErr w:type="gramEnd"/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СОУТ снизился с класса (подкласса) 3.2 до 3.1, необходимо предоставлять только повышенную оплату труда, право на дополнительный отпуск и сокращенное рабочее время работники уже не имеют.</w:t>
      </w:r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Отметим, что законодательством не установлен какой-либо срок, с которого работодателю следует отменить компенсации, предоставляемые за работу во вредных условиях труда, в случае снижения итогового класса, подтвержденного результатами СОУТ.</w:t>
      </w:r>
    </w:p>
    <w:p w:rsidR="0005477F" w:rsidRPr="0005477F" w:rsidRDefault="0005477F" w:rsidP="0005477F">
      <w:pPr>
        <w:shd w:val="clear" w:color="auto" w:fill="FFFFFF"/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следует учитывать, что условия о компенсациях за работу с вредными условиями труда с указанием таких характеристик являются обязательными для включения в трудовой договор (</w:t>
      </w:r>
      <w:hyperlink r:id="rId15" w:anchor="block_57" w:history="1">
        <w:r w:rsidRPr="0005477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57</w:t>
        </w:r>
      </w:hyperlink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ТК РФ). Соблюдение условий трудового договора является обязанностью работодателя (</w:t>
      </w:r>
      <w:hyperlink r:id="rId16" w:anchor="block_22" w:history="1">
        <w:r w:rsidRPr="0005477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22</w:t>
        </w:r>
      </w:hyperlink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ТК РФ). Следовательно, работодатель должен предоставлять работникам компенсации в тех размерах и в том порядке, которые были установлены до проведения СОУТ, до тех пор, пока соответствующие условия будут изменены либо по соглашению сторон в порядке </w:t>
      </w:r>
      <w:hyperlink r:id="rId17" w:anchor="block_72" w:history="1">
        <w:r w:rsidRPr="0005477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72</w:t>
        </w:r>
      </w:hyperlink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ТК РФ, либо по инициативе работодателя в порядке, предусмотренном </w:t>
      </w:r>
      <w:hyperlink r:id="rId18" w:anchor="block_74" w:history="1">
        <w:r w:rsidRPr="0005477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74</w:t>
        </w:r>
      </w:hyperlink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ТК РФ, с обязательным уведомлением работника в письменной форме не </w:t>
      </w:r>
      <w:proofErr w:type="gramStart"/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месяца.</w:t>
      </w:r>
    </w:p>
    <w:p w:rsidR="00434F3B" w:rsidRPr="0005477F" w:rsidRDefault="00434F3B" w:rsidP="000547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34F3B" w:rsidRPr="0005477F" w:rsidSect="0005477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C246E"/>
    <w:multiLevelType w:val="hybridMultilevel"/>
    <w:tmpl w:val="8D80E2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95"/>
    <w:rsid w:val="0005477F"/>
    <w:rsid w:val="00434F3B"/>
    <w:rsid w:val="0068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47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47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47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47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7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77F"/>
    <w:pPr>
      <w:ind w:left="720"/>
      <w:contextualSpacing/>
    </w:pPr>
  </w:style>
  <w:style w:type="paragraph" w:styleId="a9">
    <w:name w:val="No Spacing"/>
    <w:uiPriority w:val="1"/>
    <w:qFormat/>
    <w:rsid w:val="000547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47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47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47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47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7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77F"/>
    <w:pPr>
      <w:ind w:left="720"/>
      <w:contextualSpacing/>
    </w:pPr>
  </w:style>
  <w:style w:type="paragraph" w:styleId="a9">
    <w:name w:val="No Spacing"/>
    <w:uiPriority w:val="1"/>
    <w:qFormat/>
    <w:rsid w:val="00054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6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0963ac4acca6289fffe1f40998650cbf/" TargetMode="External"/><Relationship Id="rId13" Type="http://schemas.openxmlformats.org/officeDocument/2006/relationships/hyperlink" Target="http://base.garant.ru/70552680/36bfb7176e3e8bfebe718035887e4efc/" TargetMode="External"/><Relationship Id="rId18" Type="http://schemas.openxmlformats.org/officeDocument/2006/relationships/hyperlink" Target="http://base.garant.ru/12125268/a293b837c00eadeaea9c90c1f7b4f46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25268/a293b837c00eadeaea9c90c1f7b4f466/" TargetMode="External"/><Relationship Id="rId12" Type="http://schemas.openxmlformats.org/officeDocument/2006/relationships/hyperlink" Target="http://base.garant.ru/70552676/3e01a7fa47957b2f627d012fe630f5c6/" TargetMode="External"/><Relationship Id="rId17" Type="http://schemas.openxmlformats.org/officeDocument/2006/relationships/hyperlink" Target="http://base.garant.ru/12125268/ca02e6ed6dbc88322fa399901f87b35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25268/94f5bf092e8d98af576ee351987de4f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8/ca02e6ed6dbc88322fa399901f87b351/" TargetMode="External"/><Relationship Id="rId11" Type="http://schemas.openxmlformats.org/officeDocument/2006/relationships/hyperlink" Target="http://base.garant.ru/70552676/e88847e78ccd9fdb54482c7fa15982b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25268/089b4a5b96814c6974a9dc40194feaf2/" TargetMode="External"/><Relationship Id="rId10" Type="http://schemas.openxmlformats.org/officeDocument/2006/relationships/hyperlink" Target="http://base.garant.ru/12125268/841c239a7d721ff98311abe881e2116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25268/a01fd19fbf2aae1b9a36f043855d0c20/" TargetMode="External"/><Relationship Id="rId14" Type="http://schemas.openxmlformats.org/officeDocument/2006/relationships/hyperlink" Target="http://base.garant.ru/712299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1074</Words>
  <Characters>6124</Characters>
  <Application>Microsoft Office Word</Application>
  <DocSecurity>0</DocSecurity>
  <Lines>51</Lines>
  <Paragraphs>14</Paragraphs>
  <ScaleCrop>false</ScaleCrop>
  <Company>*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2019-06-05T00:46:00Z</dcterms:created>
  <dcterms:modified xsi:type="dcterms:W3CDTF">2019-06-05T00:54:00Z</dcterms:modified>
</cp:coreProperties>
</file>